
<file path=[Content_Types].xml><?xml version="1.0" encoding="utf-8"?>
<Types xmlns="http://schemas.openxmlformats.org/package/2006/content-types">
  <Default Extension="ICO" ContentType="image/.ico"/>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497D" w14:textId="33BACB56" w:rsidR="00C13601" w:rsidRDefault="00A25CEC" w:rsidP="00AF431A">
      <w:pPr>
        <w:pStyle w:val="author"/>
        <w:rPr>
          <w:b/>
          <w:sz w:val="28"/>
        </w:rPr>
      </w:pPr>
      <w:r>
        <w:rPr>
          <w:b/>
          <w:sz w:val="28"/>
        </w:rPr>
        <w:t>The Legal Framework of Conversion from Development Finan</w:t>
      </w:r>
      <w:r w:rsidR="00D70512">
        <w:rPr>
          <w:b/>
          <w:sz w:val="28"/>
        </w:rPr>
        <w:t xml:space="preserve">cial Institution to Islamic </w:t>
      </w:r>
      <w:r w:rsidR="008C580E">
        <w:rPr>
          <w:b/>
          <w:sz w:val="28"/>
        </w:rPr>
        <w:t xml:space="preserve">Development </w:t>
      </w:r>
      <w:r w:rsidR="00D70512">
        <w:rPr>
          <w:b/>
          <w:sz w:val="28"/>
        </w:rPr>
        <w:t>Financial Institution</w:t>
      </w:r>
      <w:r>
        <w:rPr>
          <w:b/>
          <w:sz w:val="28"/>
        </w:rPr>
        <w:t xml:space="preserve"> in Malaysia</w:t>
      </w:r>
      <w:r w:rsidR="00813DF5">
        <w:rPr>
          <w:b/>
          <w:sz w:val="28"/>
        </w:rPr>
        <w:t xml:space="preserve"> under Development Financial </w:t>
      </w:r>
      <w:r w:rsidR="008C580E">
        <w:rPr>
          <w:b/>
          <w:sz w:val="28"/>
        </w:rPr>
        <w:t xml:space="preserve">   </w:t>
      </w:r>
      <w:r w:rsidR="00813DF5">
        <w:rPr>
          <w:b/>
          <w:sz w:val="28"/>
        </w:rPr>
        <w:t>Institution Act 2002</w:t>
      </w:r>
    </w:p>
    <w:p w14:paraId="43873255" w14:textId="4E992DB4" w:rsidR="00AF431A" w:rsidRPr="00EE426C" w:rsidRDefault="00A25CEC" w:rsidP="00AF431A">
      <w:pPr>
        <w:pStyle w:val="author"/>
      </w:pPr>
      <w:proofErr w:type="spellStart"/>
      <w:r>
        <w:t>Azlin</w:t>
      </w:r>
      <w:proofErr w:type="spellEnd"/>
      <w:r>
        <w:t xml:space="preserve"> </w:t>
      </w:r>
      <w:proofErr w:type="spellStart"/>
      <w:r>
        <w:t>Suzana</w:t>
      </w:r>
      <w:proofErr w:type="spellEnd"/>
      <w:r>
        <w:t xml:space="preserve"> Salim</w:t>
      </w:r>
      <w:r w:rsidR="009B2539" w:rsidRPr="00EE426C">
        <w:rPr>
          <w:vertAlign w:val="superscript"/>
        </w:rPr>
        <w:t>1</w:t>
      </w:r>
      <w:r w:rsidR="009B2539" w:rsidRPr="00EE426C">
        <w:t xml:space="preserve">and </w:t>
      </w:r>
      <w:r w:rsidR="00F536B3">
        <w:t>Rusni Hassan</w:t>
      </w:r>
      <w:r w:rsidR="009B2539" w:rsidRPr="00EE426C">
        <w:rPr>
          <w:vertAlign w:val="superscript"/>
        </w:rPr>
        <w:t>2</w:t>
      </w:r>
      <w:r w:rsidR="007410D6">
        <w:rPr>
          <w:vertAlign w:val="superscript"/>
        </w:rPr>
        <w:t xml:space="preserve"> </w:t>
      </w:r>
    </w:p>
    <w:p w14:paraId="43873256" w14:textId="7E2C63F3" w:rsidR="00AF431A" w:rsidRPr="00EE426C" w:rsidRDefault="009B2539" w:rsidP="00AF431A">
      <w:pPr>
        <w:pStyle w:val="address"/>
      </w:pPr>
      <w:r w:rsidRPr="00EE426C">
        <w:rPr>
          <w:vertAlign w:val="superscript"/>
        </w:rPr>
        <w:t>1</w:t>
      </w:r>
      <w:r w:rsidRPr="00EE426C">
        <w:t xml:space="preserve"> </w:t>
      </w:r>
      <w:r w:rsidR="00F536B3" w:rsidRPr="00F536B3">
        <w:t>IIUM, Institute of Islamic Banking and Finance Malaysia</w:t>
      </w:r>
    </w:p>
    <w:p w14:paraId="55000E0C" w14:textId="0D7CA33C" w:rsidR="00F536B3" w:rsidRDefault="009B2539" w:rsidP="00AF431A">
      <w:pPr>
        <w:pStyle w:val="address"/>
      </w:pPr>
      <w:r w:rsidRPr="006809AE">
        <w:rPr>
          <w:vertAlign w:val="superscript"/>
        </w:rPr>
        <w:t>2</w:t>
      </w:r>
      <w:r w:rsidRPr="006809AE">
        <w:t xml:space="preserve"> </w:t>
      </w:r>
      <w:r w:rsidR="00F536B3" w:rsidRPr="00F536B3">
        <w:t>IIUM, Institute of Islamic Banking and Finance Malaysia</w:t>
      </w:r>
    </w:p>
    <w:p w14:paraId="43873257" w14:textId="7E320847" w:rsidR="00AF431A" w:rsidRPr="006809AE" w:rsidRDefault="00A25CEC" w:rsidP="00AF431A">
      <w:pPr>
        <w:pStyle w:val="address"/>
      </w:pPr>
      <w:r>
        <w:rPr>
          <w:rStyle w:val="e-mail"/>
        </w:rPr>
        <w:t>azlinsuzanasalim@gmail.com</w:t>
      </w:r>
    </w:p>
    <w:p w14:paraId="43873258" w14:textId="73BA3ACA" w:rsidR="00AF431A" w:rsidRPr="00EE426C" w:rsidRDefault="009B2539" w:rsidP="00813DF5">
      <w:pPr>
        <w:pStyle w:val="abstract"/>
        <w:ind w:firstLine="0"/>
      </w:pPr>
      <w:r w:rsidRPr="00EE426C">
        <w:rPr>
          <w:b/>
          <w:bCs/>
        </w:rPr>
        <w:t xml:space="preserve">Abstract. </w:t>
      </w:r>
      <w:r w:rsidR="0098160C">
        <w:rPr>
          <w:bCs/>
        </w:rPr>
        <w:t>Effective on 31</w:t>
      </w:r>
      <w:r w:rsidR="0098160C" w:rsidRPr="0098160C">
        <w:rPr>
          <w:bCs/>
          <w:vertAlign w:val="superscript"/>
        </w:rPr>
        <w:t>st</w:t>
      </w:r>
      <w:r w:rsidR="0098160C">
        <w:rPr>
          <w:bCs/>
        </w:rPr>
        <w:t xml:space="preserve"> Ja</w:t>
      </w:r>
      <w:r w:rsidR="00FA3BCF">
        <w:rPr>
          <w:bCs/>
        </w:rPr>
        <w:t>n</w:t>
      </w:r>
      <w:r w:rsidR="0098160C">
        <w:rPr>
          <w:bCs/>
        </w:rPr>
        <w:t>uary 2016, Development Financial Institutions (Amendments) Act 2015 (Act 618) introduced major amendments to</w:t>
      </w:r>
      <w:r w:rsidR="00A25CEC">
        <w:rPr>
          <w:bCs/>
        </w:rPr>
        <w:t xml:space="preserve"> </w:t>
      </w:r>
      <w:r w:rsidR="00A25CEC">
        <w:t xml:space="preserve">Development Financial Institution Act 2002 (DFIA 2002) </w:t>
      </w:r>
      <w:r w:rsidR="0098160C">
        <w:t>for enhancement of</w:t>
      </w:r>
      <w:r w:rsidR="00294079">
        <w:t xml:space="preserve"> the legal </w:t>
      </w:r>
      <w:r w:rsidR="00FA3BCF">
        <w:t xml:space="preserve">and regulatory </w:t>
      </w:r>
      <w:r w:rsidR="00294079">
        <w:t xml:space="preserve">framework </w:t>
      </w:r>
      <w:r w:rsidR="00F36D7A">
        <w:t xml:space="preserve">for </w:t>
      </w:r>
      <w:r w:rsidR="00947C24">
        <w:t>Development Financial Institutions (</w:t>
      </w:r>
      <w:r w:rsidR="00F36D7A">
        <w:t>DFIs</w:t>
      </w:r>
      <w:r w:rsidR="00947C24">
        <w:t>)</w:t>
      </w:r>
      <w:r w:rsidR="00F36D7A">
        <w:t xml:space="preserve"> in Malaysia</w:t>
      </w:r>
      <w:r w:rsidR="00205D01">
        <w:t>.</w:t>
      </w:r>
      <w:r w:rsidR="00A71471">
        <w:t xml:space="preserve"> </w:t>
      </w:r>
      <w:r w:rsidR="00205D01">
        <w:t xml:space="preserve">The </w:t>
      </w:r>
      <w:r w:rsidR="0098160C">
        <w:t>new Part IIIA DFIA 2002 inserts Shariah Requirement</w:t>
      </w:r>
      <w:r w:rsidR="00A71471">
        <w:t xml:space="preserve"> to</w:t>
      </w:r>
      <w:r w:rsidR="002C78F2">
        <w:t xml:space="preserve"> realign with the provisions of</w:t>
      </w:r>
      <w:r w:rsidR="00A71471">
        <w:t xml:space="preserve"> </w:t>
      </w:r>
      <w:r w:rsidR="0098160C">
        <w:t xml:space="preserve">Part IV </w:t>
      </w:r>
      <w:r w:rsidR="00A71471">
        <w:t xml:space="preserve">Islamic Financial Services Act (IFSA 2013). </w:t>
      </w:r>
      <w:r w:rsidR="00942422">
        <w:t xml:space="preserve">Prior to these amendments, the conversion of Bank </w:t>
      </w:r>
      <w:proofErr w:type="spellStart"/>
      <w:r w:rsidR="00942422">
        <w:t>Pertanian</w:t>
      </w:r>
      <w:proofErr w:type="spellEnd"/>
      <w:r w:rsidR="00942422">
        <w:t xml:space="preserve"> Malaysia </w:t>
      </w:r>
      <w:proofErr w:type="spellStart"/>
      <w:r w:rsidR="00942422">
        <w:t>Berhad</w:t>
      </w:r>
      <w:proofErr w:type="spellEnd"/>
      <w:r w:rsidR="00942422">
        <w:t xml:space="preserve"> (</w:t>
      </w:r>
      <w:proofErr w:type="spellStart"/>
      <w:r w:rsidR="00942422">
        <w:t>Agrobank</w:t>
      </w:r>
      <w:proofErr w:type="spellEnd"/>
      <w:r w:rsidR="00942422">
        <w:t xml:space="preserve">) </w:t>
      </w:r>
      <w:r w:rsidR="00086A04">
        <w:t xml:space="preserve">to </w:t>
      </w:r>
      <w:r w:rsidR="00C17912">
        <w:t>Islamic DFIs</w:t>
      </w:r>
      <w:r w:rsidR="00942422">
        <w:t xml:space="preserve"> </w:t>
      </w:r>
      <w:r w:rsidR="00947C24">
        <w:t>on 1</w:t>
      </w:r>
      <w:r w:rsidR="00947C24" w:rsidRPr="00947C24">
        <w:rPr>
          <w:vertAlign w:val="superscript"/>
        </w:rPr>
        <w:t>st</w:t>
      </w:r>
      <w:r w:rsidR="00947C24">
        <w:t xml:space="preserve"> July 2015 </w:t>
      </w:r>
      <w:r w:rsidR="00942422">
        <w:t xml:space="preserve">were </w:t>
      </w:r>
      <w:r w:rsidR="00942422" w:rsidRPr="00942422">
        <w:t>previously regulated under the ambit of Section 129 DFIA 2002</w:t>
      </w:r>
      <w:r w:rsidR="00C17912">
        <w:t>.</w:t>
      </w:r>
      <w:r w:rsidR="004064D7">
        <w:t xml:space="preserve"> </w:t>
      </w:r>
      <w:bookmarkStart w:id="0" w:name="_Hlk85870324"/>
      <w:r w:rsidR="00902F81">
        <w:t>A</w:t>
      </w:r>
      <w:r w:rsidR="00C17912">
        <w:t>t the date of conversion, the</w:t>
      </w:r>
      <w:r w:rsidR="004064D7">
        <w:t xml:space="preserve"> remaining conventional loan assets </w:t>
      </w:r>
      <w:r w:rsidR="00C17912">
        <w:t xml:space="preserve">of </w:t>
      </w:r>
      <w:proofErr w:type="spellStart"/>
      <w:r w:rsidR="00C17912">
        <w:t>Agrobank</w:t>
      </w:r>
      <w:proofErr w:type="spellEnd"/>
      <w:r w:rsidR="00C17912">
        <w:t xml:space="preserve"> </w:t>
      </w:r>
      <w:r w:rsidR="004064D7">
        <w:t xml:space="preserve">amounting to RM59.2 million were </w:t>
      </w:r>
      <w:r w:rsidR="00C41661">
        <w:t>permitted</w:t>
      </w:r>
      <w:r w:rsidR="00644588">
        <w:t xml:space="preserve"> to be </w:t>
      </w:r>
      <w:r w:rsidR="004064D7">
        <w:t>treated as Non-Shariah Asset</w:t>
      </w:r>
      <w:r w:rsidR="00644588">
        <w:t>s</w:t>
      </w:r>
      <w:r w:rsidR="004064D7">
        <w:t xml:space="preserve"> </w:t>
      </w:r>
      <w:r w:rsidR="005C4D23">
        <w:t>where its income</w:t>
      </w:r>
      <w:r w:rsidR="00E94015">
        <w:t xml:space="preserve"> has to be</w:t>
      </w:r>
      <w:r w:rsidR="005C4D23">
        <w:t xml:space="preserve"> recorded as liability and to be </w:t>
      </w:r>
      <w:proofErr w:type="spellStart"/>
      <w:r w:rsidR="005C4D23">
        <w:t>channelled</w:t>
      </w:r>
      <w:proofErr w:type="spellEnd"/>
      <w:r w:rsidR="005C4D23">
        <w:t xml:space="preserve"> to charity</w:t>
      </w:r>
      <w:r w:rsidR="00942422">
        <w:t>.</w:t>
      </w:r>
      <w:r w:rsidR="00942422" w:rsidRPr="00942422">
        <w:t xml:space="preserve"> </w:t>
      </w:r>
      <w:bookmarkEnd w:id="0"/>
      <w:r w:rsidR="00F536B3" w:rsidRPr="00F536B3">
        <w:t xml:space="preserve">This paper tries to analyze the current </w:t>
      </w:r>
      <w:r w:rsidR="00942422">
        <w:t>laws and regulat</w:t>
      </w:r>
      <w:r w:rsidR="00947C24">
        <w:t>i</w:t>
      </w:r>
      <w:r w:rsidR="00942422">
        <w:t>ons</w:t>
      </w:r>
      <w:r w:rsidR="00947C24">
        <w:t xml:space="preserve"> regulating conversion of DFIs to Islamic </w:t>
      </w:r>
      <w:r w:rsidR="0023025A">
        <w:t>DFIs under DFIA 2002</w:t>
      </w:r>
      <w:r w:rsidR="00947C24">
        <w:t xml:space="preserve"> and </w:t>
      </w:r>
      <w:r w:rsidR="00F536B3" w:rsidRPr="00F536B3">
        <w:t xml:space="preserve">the </w:t>
      </w:r>
      <w:r w:rsidR="00E94015">
        <w:t xml:space="preserve">legal </w:t>
      </w:r>
      <w:r w:rsidR="00F536B3" w:rsidRPr="00F536B3">
        <w:t xml:space="preserve">issues and challenges faced by </w:t>
      </w:r>
      <w:r w:rsidR="00947C24">
        <w:t>DFIs</w:t>
      </w:r>
      <w:r w:rsidR="001622E8">
        <w:t xml:space="preserve"> on conversion</w:t>
      </w:r>
      <w:r w:rsidR="00F536B3" w:rsidRPr="00F536B3">
        <w:t>. This study also gathers information from library research and webinar</w:t>
      </w:r>
      <w:r w:rsidR="00E8343C">
        <w:t>s</w:t>
      </w:r>
      <w:r w:rsidR="00F536B3" w:rsidRPr="00F536B3">
        <w:t xml:space="preserve"> related to this topic. </w:t>
      </w:r>
      <w:r w:rsidR="000F70EC">
        <w:t xml:space="preserve">The study finds </w:t>
      </w:r>
      <w:r w:rsidR="00813DF5">
        <w:t xml:space="preserve">Bank </w:t>
      </w:r>
      <w:proofErr w:type="spellStart"/>
      <w:r w:rsidR="00813DF5">
        <w:t>Simpanan</w:t>
      </w:r>
      <w:proofErr w:type="spellEnd"/>
      <w:r w:rsidR="00813DF5">
        <w:t xml:space="preserve"> Nasional</w:t>
      </w:r>
      <w:r w:rsidR="001622E8">
        <w:t xml:space="preserve"> (BSN)</w:t>
      </w:r>
      <w:r w:rsidR="00813DF5">
        <w:t xml:space="preserve">, SME </w:t>
      </w:r>
      <w:r w:rsidR="001622E8">
        <w:t xml:space="preserve">Development </w:t>
      </w:r>
      <w:r w:rsidR="00813DF5">
        <w:t>Bank</w:t>
      </w:r>
      <w:r w:rsidR="001622E8">
        <w:t xml:space="preserve"> </w:t>
      </w:r>
      <w:proofErr w:type="spellStart"/>
      <w:r w:rsidR="001622E8">
        <w:t>Berhad</w:t>
      </w:r>
      <w:proofErr w:type="spellEnd"/>
      <w:r w:rsidR="001622E8">
        <w:t xml:space="preserve"> (SME Bank)</w:t>
      </w:r>
      <w:r w:rsidR="00813DF5">
        <w:t xml:space="preserve">, Bank Pembangunan Malaysia </w:t>
      </w:r>
      <w:proofErr w:type="spellStart"/>
      <w:r w:rsidR="00813DF5">
        <w:t>Berhad</w:t>
      </w:r>
      <w:proofErr w:type="spellEnd"/>
      <w:r w:rsidR="00813DF5">
        <w:t xml:space="preserve"> </w:t>
      </w:r>
      <w:r w:rsidR="001622E8">
        <w:t xml:space="preserve">(Bank Pembangunan) </w:t>
      </w:r>
      <w:r w:rsidR="00813DF5">
        <w:t>and</w:t>
      </w:r>
      <w:r w:rsidR="001622E8">
        <w:t xml:space="preserve"> Export-Import Bank of Malaysia </w:t>
      </w:r>
      <w:proofErr w:type="spellStart"/>
      <w:r w:rsidR="001622E8">
        <w:t>Berhad</w:t>
      </w:r>
      <w:proofErr w:type="spellEnd"/>
      <w:r w:rsidR="001622E8">
        <w:t xml:space="preserve"> (</w:t>
      </w:r>
      <w:r w:rsidR="00813DF5">
        <w:t>Exim Bank</w:t>
      </w:r>
      <w:r w:rsidR="001622E8">
        <w:t>)</w:t>
      </w:r>
      <w:r w:rsidR="008576F7">
        <w:t xml:space="preserve"> have</w:t>
      </w:r>
      <w:r w:rsidR="008576F7" w:rsidRPr="00F536B3">
        <w:t xml:space="preserve"> t</w:t>
      </w:r>
      <w:r w:rsidR="008C580E">
        <w:t xml:space="preserve">o obtain </w:t>
      </w:r>
      <w:r w:rsidR="00E61D32">
        <w:t xml:space="preserve">written </w:t>
      </w:r>
      <w:r w:rsidR="00CE3B21">
        <w:t xml:space="preserve">regulatory </w:t>
      </w:r>
      <w:r w:rsidR="008C580E">
        <w:t xml:space="preserve">approval from </w:t>
      </w:r>
      <w:r w:rsidR="00414D47">
        <w:t>B</w:t>
      </w:r>
      <w:r w:rsidR="00904DF5">
        <w:t>ank Negara Malaysia</w:t>
      </w:r>
      <w:r w:rsidR="008C580E">
        <w:t xml:space="preserve"> (BNM)</w:t>
      </w:r>
      <w:r w:rsidR="008576F7" w:rsidRPr="00F536B3">
        <w:t xml:space="preserve"> </w:t>
      </w:r>
      <w:r w:rsidR="002C78F2">
        <w:t>to convert</w:t>
      </w:r>
      <w:r w:rsidR="00C929BD">
        <w:t xml:space="preserve"> </w:t>
      </w:r>
      <w:r w:rsidR="00902F81">
        <w:t xml:space="preserve">from Islamic Banking Window under Section 33B(1)(b) </w:t>
      </w:r>
      <w:r w:rsidR="00C929BD">
        <w:t>to Islamic DFIs under Section</w:t>
      </w:r>
      <w:r w:rsidR="00400178">
        <w:t xml:space="preserve"> 33B(1)(a) DFIA 2002</w:t>
      </w:r>
      <w:r w:rsidR="00C929BD">
        <w:t xml:space="preserve"> </w:t>
      </w:r>
      <w:r w:rsidR="008D62DD">
        <w:t>with permission that</w:t>
      </w:r>
      <w:r w:rsidR="00513319">
        <w:t xml:space="preserve"> certain percentage of unconverted</w:t>
      </w:r>
      <w:r w:rsidR="00C41661">
        <w:t xml:space="preserve"> conventional loan</w:t>
      </w:r>
      <w:r w:rsidR="00513319">
        <w:t xml:space="preserve"> assets </w:t>
      </w:r>
      <w:r w:rsidR="008D62DD">
        <w:t>remain as Non-Shariah assets and become liabilities after conversion</w:t>
      </w:r>
      <w:r w:rsidR="00813DF5">
        <w:t xml:space="preserve">. </w:t>
      </w:r>
      <w:r w:rsidR="00F536B3" w:rsidRPr="00F536B3">
        <w:t>This study shows that</w:t>
      </w:r>
      <w:r w:rsidR="00660CAB">
        <w:t xml:space="preserve"> </w:t>
      </w:r>
      <w:r w:rsidR="00660CAB" w:rsidRPr="00660CAB">
        <w:t>Section 33</w:t>
      </w:r>
      <w:proofErr w:type="gramStart"/>
      <w:r w:rsidR="00660CAB" w:rsidRPr="00660CAB">
        <w:t>B</w:t>
      </w:r>
      <w:r w:rsidR="00660CAB">
        <w:t>(</w:t>
      </w:r>
      <w:proofErr w:type="gramEnd"/>
      <w:r w:rsidR="00660CAB">
        <w:t>1)</w:t>
      </w:r>
      <w:r w:rsidR="006524F4">
        <w:t>,(2)</w:t>
      </w:r>
      <w:r w:rsidR="00660CAB">
        <w:t xml:space="preserve"> and (3)</w:t>
      </w:r>
      <w:r w:rsidR="006524F4">
        <w:t xml:space="preserve"> DFIA 2002</w:t>
      </w:r>
      <w:r w:rsidR="00660CAB" w:rsidRPr="00660CAB">
        <w:t xml:space="preserve"> incorporate the </w:t>
      </w:r>
      <w:r w:rsidR="00660CAB">
        <w:t xml:space="preserve">new </w:t>
      </w:r>
      <w:r w:rsidR="00E94015">
        <w:t xml:space="preserve">stringent </w:t>
      </w:r>
      <w:r w:rsidR="00660CAB" w:rsidRPr="00660CAB">
        <w:t xml:space="preserve">requirements </w:t>
      </w:r>
      <w:r w:rsidR="00872F82">
        <w:t xml:space="preserve">for </w:t>
      </w:r>
      <w:r w:rsidR="008576F7">
        <w:t xml:space="preserve">conversion of </w:t>
      </w:r>
      <w:r w:rsidR="00E94015">
        <w:t xml:space="preserve">entire business of </w:t>
      </w:r>
      <w:r w:rsidR="00660CAB">
        <w:t>DFIs</w:t>
      </w:r>
      <w:r w:rsidR="00872F82">
        <w:t xml:space="preserve"> </w:t>
      </w:r>
      <w:r w:rsidR="002C78F2">
        <w:t xml:space="preserve">with literal interpretation that 100% of its assets must be </w:t>
      </w:r>
      <w:r w:rsidR="00E94015">
        <w:t>in accordance with Shariah</w:t>
      </w:r>
      <w:r w:rsidR="008D62DD">
        <w:t>.</w:t>
      </w:r>
    </w:p>
    <w:p w14:paraId="43873259" w14:textId="113F47FF" w:rsidR="00AF431A" w:rsidRPr="00EE426C" w:rsidRDefault="009B2539" w:rsidP="00AF431A">
      <w:pPr>
        <w:pStyle w:val="keywords"/>
      </w:pPr>
      <w:r w:rsidRPr="00EE426C">
        <w:rPr>
          <w:b/>
          <w:bCs/>
        </w:rPr>
        <w:t>Keywords:</w:t>
      </w:r>
      <w:r w:rsidRPr="00EE426C">
        <w:t xml:space="preserve"> </w:t>
      </w:r>
      <w:r w:rsidR="007410D6">
        <w:t>Legal Framework</w:t>
      </w:r>
      <w:r w:rsidR="002E3DAB" w:rsidRPr="002E3DAB">
        <w:t xml:space="preserve">, </w:t>
      </w:r>
      <w:r w:rsidR="007410D6">
        <w:t>Conversion</w:t>
      </w:r>
      <w:r w:rsidR="002E3DAB" w:rsidRPr="002E3DAB">
        <w:t>,</w:t>
      </w:r>
      <w:r w:rsidR="007410D6">
        <w:t xml:space="preserve"> Development Financial Institutions,</w:t>
      </w:r>
      <w:r w:rsidR="002E3DAB" w:rsidRPr="002E3DAB">
        <w:t xml:space="preserve"> </w:t>
      </w:r>
      <w:r w:rsidR="00813DF5">
        <w:t>Development Financial Institutions Act 2002</w:t>
      </w:r>
    </w:p>
    <w:p w14:paraId="4387325B" w14:textId="0F4ED988" w:rsidR="00AF431A" w:rsidRPr="006809AE" w:rsidRDefault="002E3DAB" w:rsidP="00AF7F9D">
      <w:pPr>
        <w:pStyle w:val="heading1"/>
      </w:pPr>
      <w:r>
        <w:lastRenderedPageBreak/>
        <w:t>Introduction</w:t>
      </w:r>
    </w:p>
    <w:p w14:paraId="4A4EB78F" w14:textId="4305DB02" w:rsidR="00DE4B03" w:rsidRDefault="00857C33" w:rsidP="00FE044E">
      <w:pPr>
        <w:pStyle w:val="p1a"/>
      </w:pPr>
      <w:r>
        <w:t>In the year 2020, Islamic banking</w:t>
      </w:r>
      <w:r w:rsidR="002E3DAB">
        <w:t xml:space="preserve"> industry </w:t>
      </w:r>
      <w:r>
        <w:t xml:space="preserve">remains resilient and </w:t>
      </w:r>
      <w:r w:rsidR="002E3DAB">
        <w:t>continues</w:t>
      </w:r>
      <w:r>
        <w:t xml:space="preserve"> to post</w:t>
      </w:r>
      <w:r w:rsidR="002E3DAB">
        <w:t xml:space="preserve"> </w:t>
      </w:r>
      <w:r>
        <w:t>a health growth despite the challenge of pandemic crisis</w:t>
      </w:r>
      <w:r w:rsidR="00E3646B">
        <w:t xml:space="preserve">. </w:t>
      </w:r>
      <w:r w:rsidR="001F31B8" w:rsidRPr="001F31B8">
        <w:t>According to BNM</w:t>
      </w:r>
      <w:r w:rsidR="001F31B8">
        <w:t>'s Annual Report 2020</w:t>
      </w:r>
      <w:r w:rsidR="001F31B8" w:rsidRPr="001F31B8">
        <w:t>, the market share of Islamic banking assets and Islamic financing form 34.2% and 41.0% respectively of the total industry size. In 2020, the annual growth of Islamic financing in Malaysia was recorded at 8.5%, much higher than 0.5% growth rate of the conventional counterpart.</w:t>
      </w:r>
      <w:r w:rsidR="00FE044E">
        <w:t xml:space="preserve"> </w:t>
      </w:r>
      <w:r w:rsidR="00DE4B03" w:rsidRPr="00DE4B03">
        <w:t xml:space="preserve">Total Islamic financing reached RM817.4 billion </w:t>
      </w:r>
      <w:r w:rsidR="00812380">
        <w:t>at the end of 2020</w:t>
      </w:r>
      <w:r w:rsidR="00DE4B03" w:rsidRPr="00DE4B03">
        <w:t xml:space="preserve"> from RM753.61 billion</w:t>
      </w:r>
      <w:r w:rsidR="00812380">
        <w:t xml:space="preserve"> in 2019</w:t>
      </w:r>
      <w:r w:rsidR="00DE4B03" w:rsidRPr="00DE4B03">
        <w:t xml:space="preserve"> and total </w:t>
      </w:r>
      <w:r w:rsidR="00812380">
        <w:t xml:space="preserve">Islamic </w:t>
      </w:r>
      <w:r w:rsidR="00DE4B03" w:rsidRPr="00DE4B03">
        <w:t>deposits and investment acco</w:t>
      </w:r>
      <w:r w:rsidR="00812380">
        <w:t>unts reached RM889.95 billion at the end of 2020 from RM826.2 billion in 2019 (BNM,2020).</w:t>
      </w:r>
    </w:p>
    <w:p w14:paraId="3A45CC29" w14:textId="73B589A9" w:rsidR="00FE044E" w:rsidRDefault="00C0521A" w:rsidP="00D70512">
      <w:r>
        <w:t>T</w:t>
      </w:r>
      <w:r w:rsidR="00FE044E">
        <w:t xml:space="preserve">he </w:t>
      </w:r>
      <w:r>
        <w:t xml:space="preserve">positive </w:t>
      </w:r>
      <w:r w:rsidR="00DE4B03">
        <w:t>growth includes contribution of</w:t>
      </w:r>
      <w:r w:rsidR="00FE044E">
        <w:t xml:space="preserve"> Development Financial Institutions (DFIs) in Islamic Banking Industry</w:t>
      </w:r>
      <w:r w:rsidR="00DE4B03">
        <w:t xml:space="preserve"> </w:t>
      </w:r>
      <w:r>
        <w:t xml:space="preserve">(BNM,2020) </w:t>
      </w:r>
      <w:r w:rsidR="00DE4B03">
        <w:t xml:space="preserve">whereby two DFIs namely Bank Kerjasama Rakyat Malaysia </w:t>
      </w:r>
      <w:proofErr w:type="spellStart"/>
      <w:r w:rsidR="00DE4B03">
        <w:t>Berhad</w:t>
      </w:r>
      <w:proofErr w:type="spellEnd"/>
      <w:r w:rsidR="00DE4B03">
        <w:t xml:space="preserve"> (Bank Rakyat) and Bank </w:t>
      </w:r>
      <w:proofErr w:type="spellStart"/>
      <w:r w:rsidR="00DE4B03">
        <w:t>Pertanian</w:t>
      </w:r>
      <w:proofErr w:type="spellEnd"/>
      <w:r w:rsidR="00DE4B03">
        <w:t xml:space="preserve"> Malaysia </w:t>
      </w:r>
      <w:proofErr w:type="spellStart"/>
      <w:r w:rsidR="00DE4B03">
        <w:t>Berhad</w:t>
      </w:r>
      <w:proofErr w:type="spellEnd"/>
      <w:r w:rsidR="00DE4B03">
        <w:t xml:space="preserve"> (</w:t>
      </w:r>
      <w:proofErr w:type="spellStart"/>
      <w:r w:rsidR="00DE4B03">
        <w:t>Agrobank</w:t>
      </w:r>
      <w:proofErr w:type="spellEnd"/>
      <w:r w:rsidR="00DE4B03">
        <w:t xml:space="preserve">) are entirely carrying on business and activity in accordance with Shariah. </w:t>
      </w:r>
      <w:r w:rsidR="008615AD">
        <w:t xml:space="preserve">Bank Rakyat is recognized as </w:t>
      </w:r>
      <w:r w:rsidR="008615AD" w:rsidRPr="008615AD">
        <w:t xml:space="preserve">the second largest Islamic financial institution in </w:t>
      </w:r>
      <w:r w:rsidR="00D70512">
        <w:t xml:space="preserve">Malaysia in </w:t>
      </w:r>
      <w:r w:rsidR="008615AD" w:rsidRPr="008615AD">
        <w:t>terms of asset size</w:t>
      </w:r>
      <w:r w:rsidR="00D70512">
        <w:t xml:space="preserve"> amounting to RM111.75 billion (Bank Rakyat,2020)</w:t>
      </w:r>
      <w:r w:rsidR="008615AD">
        <w:t xml:space="preserve">. </w:t>
      </w:r>
      <w:r w:rsidR="00D70512" w:rsidRPr="0020537D">
        <w:t>T</w:t>
      </w:r>
      <w:r w:rsidR="00D70512">
        <w:t>he t</w:t>
      </w:r>
      <w:r w:rsidR="00D70512" w:rsidRPr="0020537D">
        <w:t xml:space="preserve">otal assets </w:t>
      </w:r>
      <w:r w:rsidR="00D70512">
        <w:t xml:space="preserve">of </w:t>
      </w:r>
      <w:proofErr w:type="spellStart"/>
      <w:r w:rsidR="00D70512">
        <w:t>Agrobank</w:t>
      </w:r>
      <w:proofErr w:type="spellEnd"/>
      <w:r w:rsidR="00D70512">
        <w:t xml:space="preserve"> remained</w:t>
      </w:r>
      <w:r w:rsidR="00D70512" w:rsidRPr="0020537D">
        <w:t xml:space="preserve"> strong wit</w:t>
      </w:r>
      <w:r w:rsidR="00D70512">
        <w:t>h an increase of 4.0% to RM18.2</w:t>
      </w:r>
      <w:r w:rsidR="00D70512" w:rsidRPr="0020537D">
        <w:t xml:space="preserve"> billion in 20</w:t>
      </w:r>
      <w:r w:rsidR="00D70512">
        <w:t xml:space="preserve">20 compared to RM16.9 billion in 2019 (Agrobank,2020). </w:t>
      </w:r>
      <w:r w:rsidR="00DE4B03">
        <w:t xml:space="preserve">While the other four (4) DFIs; Bank </w:t>
      </w:r>
      <w:proofErr w:type="spellStart"/>
      <w:r w:rsidR="00DE4B03">
        <w:t>Simpanan</w:t>
      </w:r>
      <w:proofErr w:type="spellEnd"/>
      <w:r w:rsidR="00DE4B03">
        <w:t xml:space="preserve"> Nasional (BSN), SME Development Bank </w:t>
      </w:r>
      <w:proofErr w:type="spellStart"/>
      <w:r w:rsidR="00DE4B03">
        <w:t>Berhad</w:t>
      </w:r>
      <w:proofErr w:type="spellEnd"/>
      <w:r w:rsidR="00DE4B03">
        <w:t xml:space="preserve"> (SME Bank), Bank Pembangunan Malaysia </w:t>
      </w:r>
      <w:proofErr w:type="spellStart"/>
      <w:r w:rsidR="00DE4B03">
        <w:t>Berhad</w:t>
      </w:r>
      <w:proofErr w:type="spellEnd"/>
      <w:r w:rsidR="00DE4B03">
        <w:t xml:space="preserve"> (Bank Pembangunan) and Export-Import Bank of Malaysia </w:t>
      </w:r>
      <w:proofErr w:type="spellStart"/>
      <w:r w:rsidR="00DE4B03">
        <w:t>Berhad</w:t>
      </w:r>
      <w:proofErr w:type="spellEnd"/>
      <w:r w:rsidR="00DE4B03">
        <w:t xml:space="preserve"> (Exim Bank) </w:t>
      </w:r>
      <w:r w:rsidR="00DE4B03" w:rsidRPr="009847E0">
        <w:t>ca</w:t>
      </w:r>
      <w:r w:rsidR="00DE4B03">
        <w:t>rrying on Islamic Banking Business</w:t>
      </w:r>
      <w:r w:rsidR="0023025A">
        <w:t xml:space="preserve"> as Islamic Banking Window</w:t>
      </w:r>
      <w:r w:rsidR="00DE4B03" w:rsidRPr="009847E0">
        <w:t xml:space="preserve"> in addition to its existing conventional business</w:t>
      </w:r>
      <w:r w:rsidR="0023025A">
        <w:t>.</w:t>
      </w:r>
    </w:p>
    <w:p w14:paraId="36C76D1B" w14:textId="089DD9D1" w:rsidR="00B0166B" w:rsidRDefault="00D65969" w:rsidP="00DB6681">
      <w:pPr>
        <w:pStyle w:val="p1a"/>
        <w:ind w:firstLine="227"/>
      </w:pPr>
      <w:r>
        <w:t>T</w:t>
      </w:r>
      <w:r w:rsidRPr="004F611D">
        <w:t>he p</w:t>
      </w:r>
      <w:r w:rsidR="00F54B66">
        <w:t xml:space="preserve">rincipal activities of </w:t>
      </w:r>
      <w:r>
        <w:t>these DFIs in</w:t>
      </w:r>
      <w:r w:rsidRPr="004F611D">
        <w:t xml:space="preserve"> development banking</w:t>
      </w:r>
      <w:r>
        <w:t xml:space="preserve"> include</w:t>
      </w:r>
      <w:r w:rsidRPr="004F611D">
        <w:t xml:space="preserve"> </w:t>
      </w:r>
      <w:r w:rsidR="000C09A9" w:rsidRPr="0013543D">
        <w:t>strategies and effo</w:t>
      </w:r>
      <w:r w:rsidR="000C09A9">
        <w:t xml:space="preserve">rts to continuously enhance </w:t>
      </w:r>
      <w:r w:rsidR="000C09A9" w:rsidRPr="0013543D">
        <w:t>Islamic Banking portfolio</w:t>
      </w:r>
      <w:r w:rsidR="000C09A9" w:rsidRPr="004F611D">
        <w:t xml:space="preserve"> </w:t>
      </w:r>
      <w:r w:rsidR="000C09A9">
        <w:t>together with the existing</w:t>
      </w:r>
      <w:r w:rsidRPr="004F611D">
        <w:t xml:space="preserve"> conventiona</w:t>
      </w:r>
      <w:r>
        <w:t xml:space="preserve">l related financial services. </w:t>
      </w:r>
    </w:p>
    <w:p w14:paraId="46EA99BC" w14:textId="2E410BE4" w:rsidR="00495D3D" w:rsidRDefault="00B0166B" w:rsidP="00F573DC">
      <w:r>
        <w:t>This paper tries to analyze the laws and regulation regulating conversion of D</w:t>
      </w:r>
      <w:r w:rsidR="00DB3453">
        <w:t>FIs to Islamic DFIs under</w:t>
      </w:r>
      <w:r>
        <w:t xml:space="preserve"> Development Financial Institution Act 2002. Furthermore, this study aims to investigate the issues and challenges faced by DFIs for conversion </w:t>
      </w:r>
      <w:r w:rsidR="002E3DAB">
        <w:t>to achieve its objectives. For that reason, this paper aims to provide suitable recommendati</w:t>
      </w:r>
      <w:r w:rsidR="00C0521A">
        <w:t>on for the establishment</w:t>
      </w:r>
      <w:r>
        <w:t xml:space="preserve"> </w:t>
      </w:r>
      <w:r w:rsidR="00C0521A">
        <w:t xml:space="preserve">Islamic DFIs under Section 33B(1)(a) DFIA 2002 </w:t>
      </w:r>
      <w:r w:rsidR="002E3DAB">
        <w:t>to support</w:t>
      </w:r>
      <w:r>
        <w:t xml:space="preserve"> conversion of DFIs to Islamic DFIs</w:t>
      </w:r>
      <w:r w:rsidR="002E3DAB">
        <w:t>.</w:t>
      </w:r>
    </w:p>
    <w:p w14:paraId="09F48E12" w14:textId="02B138A6" w:rsidR="00BD6F03" w:rsidRPr="00A76871" w:rsidRDefault="00495D3D" w:rsidP="00A76871">
      <w:pPr>
        <w:rPr>
          <w:lang w:val="en-MY"/>
        </w:rPr>
      </w:pPr>
      <w:r w:rsidRPr="00495D3D">
        <w:t>As part of its regulatory and supervisory framework, BNM monitors the activities and financial p</w:t>
      </w:r>
      <w:r>
        <w:t>erformance of DFIs to ensure that DFIs</w:t>
      </w:r>
      <w:r w:rsidRPr="00495D3D">
        <w:t xml:space="preserve"> perform their mandated roles in a prudent manner, supported by strong corporate governance and best practices. BNM reported in Financial Stability and Payment System Report 2015 that </w:t>
      </w:r>
      <w:r w:rsidRPr="00495D3D">
        <w:rPr>
          <w:lang w:val="en-GB"/>
        </w:rPr>
        <w:t>amendments to the DFIA which came into effect on 31 January 2016</w:t>
      </w:r>
      <w:r w:rsidR="00904DF5">
        <w:rPr>
          <w:lang w:val="en-GB"/>
        </w:rPr>
        <w:t xml:space="preserve"> was a continuing</w:t>
      </w:r>
      <w:r w:rsidR="00AA3EF7">
        <w:rPr>
          <w:lang w:val="en-GB"/>
        </w:rPr>
        <w:t xml:space="preserve"> </w:t>
      </w:r>
      <w:r w:rsidR="00904DF5">
        <w:rPr>
          <w:lang w:val="en-GB"/>
        </w:rPr>
        <w:t>efforts</w:t>
      </w:r>
      <w:r w:rsidRPr="00495D3D">
        <w:rPr>
          <w:lang w:val="en-GB"/>
        </w:rPr>
        <w:t xml:space="preserve"> </w:t>
      </w:r>
      <w:r w:rsidR="00904DF5">
        <w:rPr>
          <w:lang w:val="en-GB"/>
        </w:rPr>
        <w:t xml:space="preserve">for </w:t>
      </w:r>
      <w:r w:rsidRPr="00495D3D">
        <w:rPr>
          <w:lang w:val="en-GB"/>
        </w:rPr>
        <w:t xml:space="preserve">an effective legal framework for </w:t>
      </w:r>
      <w:r w:rsidR="00904DF5">
        <w:rPr>
          <w:lang w:val="en-GB"/>
        </w:rPr>
        <w:t>DFIs</w:t>
      </w:r>
      <w:r w:rsidRPr="00495D3D">
        <w:rPr>
          <w:lang w:val="en-GB"/>
        </w:rPr>
        <w:t xml:space="preserve"> in Malaysia. The amendments aim to better support the DFIs’ specific mandates in a sustainable manner</w:t>
      </w:r>
      <w:r w:rsidR="00AA3EF7">
        <w:rPr>
          <w:lang w:val="en-GB"/>
        </w:rPr>
        <w:t xml:space="preserve"> </w:t>
      </w:r>
      <w:r w:rsidRPr="00495D3D">
        <w:rPr>
          <w:lang w:val="en-GB"/>
        </w:rPr>
        <w:t>and reflect the</w:t>
      </w:r>
      <w:r w:rsidR="00904DF5">
        <w:rPr>
          <w:lang w:val="en-GB"/>
        </w:rPr>
        <w:t xml:space="preserve"> important</w:t>
      </w:r>
      <w:r w:rsidRPr="00495D3D">
        <w:rPr>
          <w:lang w:val="en-GB"/>
        </w:rPr>
        <w:t xml:space="preserve"> role of DFIs in supporting Malaysia’s socio-economic development and inclusive growth</w:t>
      </w:r>
      <w:r>
        <w:rPr>
          <w:lang w:val="en-GB"/>
        </w:rPr>
        <w:t xml:space="preserve"> (BNM,2015).</w:t>
      </w:r>
    </w:p>
    <w:p w14:paraId="4278023D" w14:textId="0070BE7A" w:rsidR="002E3DAB" w:rsidRDefault="002E3DAB" w:rsidP="00AF7F9D">
      <w:pPr>
        <w:pStyle w:val="heading1"/>
      </w:pPr>
      <w:r w:rsidRPr="00AF7F9D">
        <w:lastRenderedPageBreak/>
        <w:t xml:space="preserve">Literature </w:t>
      </w:r>
      <w:r w:rsidRPr="002E3DAB">
        <w:t xml:space="preserve">Review  </w:t>
      </w:r>
    </w:p>
    <w:p w14:paraId="479D28E0" w14:textId="51066220" w:rsidR="00C57689" w:rsidRPr="00C57689" w:rsidRDefault="004A0928" w:rsidP="00C57689">
      <w:pPr>
        <w:pStyle w:val="heading2"/>
        <w:spacing w:before="0"/>
      </w:pPr>
      <w:r>
        <w:t>Development Financial Institutions in Malaysia</w:t>
      </w:r>
    </w:p>
    <w:p w14:paraId="5FB15B3F" w14:textId="7F0297D6" w:rsidR="004C4B93" w:rsidRDefault="00987428" w:rsidP="004C4B93">
      <w:pPr>
        <w:ind w:firstLine="0"/>
      </w:pPr>
      <w:r>
        <w:t>DFIs have roles and mandates which are linked directly to the country's national development objectives. This is evidenced from the establishment of DFIs with specific purposes to promote development of identified sectors, ranging from industrial and agriculture sectors to areas such as export promotion, infrastructure development as well as the small and medium enterprises (SMEs) (BNM,2005)</w:t>
      </w:r>
      <w:r w:rsidR="004C4B93" w:rsidRPr="004C4B93">
        <w:t>. The estab</w:t>
      </w:r>
      <w:r w:rsidR="00413E2A">
        <w:t>lishment of each DFI is affected</w:t>
      </w:r>
      <w:r w:rsidR="004C4B93" w:rsidRPr="004C4B93">
        <w:t xml:space="preserve"> by the Act of Parliament </w:t>
      </w:r>
      <w:r w:rsidR="00413E2A">
        <w:t>to regulate</w:t>
      </w:r>
      <w:r w:rsidR="004C4B93" w:rsidRPr="004C4B93">
        <w:t xml:space="preserve"> its </w:t>
      </w:r>
      <w:r w:rsidR="008D6790">
        <w:t>business and</w:t>
      </w:r>
      <w:r w:rsidR="00413E2A">
        <w:t xml:space="preserve"> activity related to </w:t>
      </w:r>
      <w:r w:rsidR="004C4B93" w:rsidRPr="004C4B93">
        <w:t>mandated role</w:t>
      </w:r>
      <w:r w:rsidR="008D6790">
        <w:t xml:space="preserve"> provided by the Act</w:t>
      </w:r>
      <w:r w:rsidR="004C4B93" w:rsidRPr="004C4B93">
        <w:t xml:space="preserve">. For example, Bank </w:t>
      </w:r>
      <w:proofErr w:type="spellStart"/>
      <w:r w:rsidR="004C4B93" w:rsidRPr="004C4B93">
        <w:t>Pertanian</w:t>
      </w:r>
      <w:proofErr w:type="spellEnd"/>
      <w:r w:rsidR="004C4B93" w:rsidRPr="004C4B93">
        <w:t xml:space="preserve"> Malaysia was established by Bank </w:t>
      </w:r>
      <w:proofErr w:type="spellStart"/>
      <w:r w:rsidR="004C4B93" w:rsidRPr="004C4B93">
        <w:t>Pertanian</w:t>
      </w:r>
      <w:proofErr w:type="spellEnd"/>
      <w:r w:rsidR="004C4B93" w:rsidRPr="004C4B93">
        <w:t xml:space="preserve"> Malaysia Act 1969 and subsequently repealed by Bank </w:t>
      </w:r>
      <w:proofErr w:type="spellStart"/>
      <w:r w:rsidR="004C4B93" w:rsidRPr="004C4B93">
        <w:t>Pertanian</w:t>
      </w:r>
      <w:proofErr w:type="spellEnd"/>
      <w:r w:rsidR="004C4B93" w:rsidRPr="004C4B93">
        <w:t xml:space="preserve"> Malaysia </w:t>
      </w:r>
      <w:proofErr w:type="spellStart"/>
      <w:r w:rsidR="004C4B93" w:rsidRPr="004C4B93">
        <w:t>Berhad</w:t>
      </w:r>
      <w:proofErr w:type="spellEnd"/>
      <w:r w:rsidR="004C4B93" w:rsidRPr="004C4B93">
        <w:t xml:space="preserve"> Act 2008 for</w:t>
      </w:r>
      <w:r w:rsidR="00413E2A">
        <w:t xml:space="preserve"> its </w:t>
      </w:r>
      <w:r w:rsidR="00C0521A">
        <w:t>corporatization (Agrobank,2019)</w:t>
      </w:r>
      <w:r w:rsidR="004C4B93" w:rsidRPr="004C4B93">
        <w:t xml:space="preserve">. </w:t>
      </w:r>
      <w:r w:rsidR="00413E2A" w:rsidRPr="00413E2A">
        <w:t xml:space="preserve">Bank </w:t>
      </w:r>
      <w:proofErr w:type="spellStart"/>
      <w:r w:rsidR="00413E2A" w:rsidRPr="00413E2A">
        <w:t>Simpanan</w:t>
      </w:r>
      <w:proofErr w:type="spellEnd"/>
      <w:r w:rsidR="00413E2A" w:rsidRPr="00413E2A">
        <w:t xml:space="preserve"> Nasional was incorporated on 1 December 1974, under the Bank </w:t>
      </w:r>
      <w:proofErr w:type="spellStart"/>
      <w:r w:rsidR="00413E2A" w:rsidRPr="00413E2A">
        <w:t>Simpanan</w:t>
      </w:r>
      <w:proofErr w:type="spellEnd"/>
      <w:r w:rsidR="00413E2A" w:rsidRPr="00413E2A">
        <w:t xml:space="preserve"> Nasional Act</w:t>
      </w:r>
      <w:r w:rsidR="00413E2A">
        <w:t xml:space="preserve"> 1974</w:t>
      </w:r>
      <w:r w:rsidR="00413E2A" w:rsidRPr="00413E2A">
        <w:t>, which replaced the Post Office Savings Bank set up in 1948</w:t>
      </w:r>
      <w:r w:rsidR="00C0521A">
        <w:t xml:space="preserve"> (BSN, 2019)</w:t>
      </w:r>
      <w:r w:rsidR="00413E2A">
        <w:t>.</w:t>
      </w:r>
    </w:p>
    <w:p w14:paraId="41E3B731" w14:textId="6DD42EBE" w:rsidR="00062C43" w:rsidRDefault="00280710" w:rsidP="004C4B93">
      <w:r>
        <w:t>Prior to 2002, DFIs were</w:t>
      </w:r>
      <w:r w:rsidR="004C4B93" w:rsidRPr="004C4B93">
        <w:t xml:space="preserve"> not regulated and supervised by </w:t>
      </w:r>
      <w:r w:rsidR="00414D47">
        <w:t>BNM</w:t>
      </w:r>
      <w:r w:rsidR="004C4B93" w:rsidRPr="004C4B93">
        <w:t xml:space="preserve">. The issuance of Financial Sector Master Plan in 2001 marked the turning point that led to the strategic recommendation for the formation of proper regulatory framework of DFIs in Malaysia. Effective from 2002, the prescribed Development Financial Institutions (DFIs) in Malaysia are regulated and supervised within the purview of BNM. The governing law that regulates the prescribed DFIs is Development Financial Institutions Act 2002 (DFIA 2002), which came into force on the 15 February 2002 by virtue of PU (B) 51/2002. </w:t>
      </w:r>
    </w:p>
    <w:p w14:paraId="3D55F093" w14:textId="5CE21C88" w:rsidR="004C4B93" w:rsidRDefault="004C4B93" w:rsidP="004C4B93">
      <w:r w:rsidRPr="004C4B93">
        <w:t xml:space="preserve">The legal and regulatory framework continued to be enhanced in congruent with the common objectives of Economic Transformation </w:t>
      </w:r>
      <w:proofErr w:type="spellStart"/>
      <w:r w:rsidRPr="004C4B93">
        <w:t>Programme</w:t>
      </w:r>
      <w:proofErr w:type="spellEnd"/>
      <w:r w:rsidRPr="004C4B93">
        <w:t xml:space="preserve"> (ETP) and the Financial Sector Blueprint 2011-2020 that envisage further transformation of DFIs’ capacity and capability to support their mandated roles. </w:t>
      </w:r>
      <w:r w:rsidR="00062C43" w:rsidRPr="00062C43">
        <w:t xml:space="preserve">BNM published the Financial Sector Blueprint </w:t>
      </w:r>
      <w:r w:rsidR="00280710">
        <w:t>(Blueprint) on 21 December 2011 and</w:t>
      </w:r>
      <w:r w:rsidR="00062C43" w:rsidRPr="00062C43">
        <w:t xml:space="preserve"> </w:t>
      </w:r>
      <w:r w:rsidR="00280710">
        <w:t>o</w:t>
      </w:r>
      <w:r w:rsidR="00062C43">
        <w:t xml:space="preserve">ne of the </w:t>
      </w:r>
      <w:r w:rsidR="00062C43" w:rsidRPr="00062C43">
        <w:t>focus areas under the Blueprint</w:t>
      </w:r>
      <w:r w:rsidR="00237552">
        <w:t xml:space="preserve"> was</w:t>
      </w:r>
      <w:r w:rsidR="00062C43" w:rsidRPr="00062C43">
        <w:t xml:space="preserve"> </w:t>
      </w:r>
      <w:proofErr w:type="spellStart"/>
      <w:r w:rsidR="00062C43" w:rsidRPr="00062C43">
        <w:t>internalisation</w:t>
      </w:r>
      <w:proofErr w:type="spellEnd"/>
      <w:r w:rsidR="00062C43" w:rsidRPr="00062C43">
        <w:t xml:space="preserve"> of Islamic finance</w:t>
      </w:r>
      <w:r w:rsidR="00237552">
        <w:t>.</w:t>
      </w:r>
    </w:p>
    <w:p w14:paraId="5F6721BF" w14:textId="124D0DCB" w:rsidR="004A0928" w:rsidRDefault="004A0928" w:rsidP="004C4B93">
      <w:r>
        <w:t>There are limited literature studies on the Development Financial Institutions (DFIs) in Malaysia (</w:t>
      </w:r>
      <w:proofErr w:type="spellStart"/>
      <w:r>
        <w:t>Aminul</w:t>
      </w:r>
      <w:proofErr w:type="spellEnd"/>
      <w:r>
        <w:t xml:space="preserve">, 2012; </w:t>
      </w:r>
      <w:proofErr w:type="spellStart"/>
      <w:r>
        <w:t>Aminul</w:t>
      </w:r>
      <w:proofErr w:type="spellEnd"/>
      <w:r>
        <w:t xml:space="preserve">, 2015). In addition to the limitation of the literature review, the term DFIs has been interchangeable used to denote the Non-Bank Financial Intermediaries (NBFIs) as mentioned by </w:t>
      </w:r>
      <w:proofErr w:type="spellStart"/>
      <w:r>
        <w:t>Aminul</w:t>
      </w:r>
      <w:proofErr w:type="spellEnd"/>
      <w:r>
        <w:t xml:space="preserve"> and Jamil (2011) and it is also referred to as Non-Bank Financial Institutions. Furthermore, the list of DFIs mentioned in each study may include DFIs regulated under DFIA 2002 and other DFIs which are not </w:t>
      </w:r>
      <w:proofErr w:type="spellStart"/>
      <w:r>
        <w:t>gazetted</w:t>
      </w:r>
      <w:proofErr w:type="spellEnd"/>
      <w:r>
        <w:t xml:space="preserve"> under the Act and it was not clearly defined by the researcher(s). Based on this observation, this paper will be focused on the prescribed DFIs listed and </w:t>
      </w:r>
      <w:proofErr w:type="spellStart"/>
      <w:r>
        <w:t>gazetted</w:t>
      </w:r>
      <w:proofErr w:type="spellEnd"/>
      <w:r>
        <w:t xml:space="preserve"> under Development Financial Institutions Act 2002 (DFIA 2002) regulated by BNM and the definition of DFIs and prescribed institutions as defined thereto. This study is crucial as it will fill the gap on the literatures related to DFIA 2002.</w:t>
      </w:r>
    </w:p>
    <w:p w14:paraId="4E4B0FFF" w14:textId="2FE974FF" w:rsidR="004A0928" w:rsidRDefault="004A0928" w:rsidP="004A0928">
      <w:r>
        <w:t>This article discuss</w:t>
      </w:r>
      <w:r w:rsidR="00C404CD">
        <w:t>es</w:t>
      </w:r>
      <w:r>
        <w:t xml:space="preserve"> new rules and requirements for the operation of DFIs provided by the amended Act and analyses its impact on the business of DFIs in Malaysia.</w:t>
      </w:r>
    </w:p>
    <w:p w14:paraId="0CA9AD2C" w14:textId="0DA60659" w:rsidR="004A0928" w:rsidRDefault="004A0928" w:rsidP="004A0928">
      <w:r>
        <w:t xml:space="preserve">It is suggested that Regulatory Framework for Islamic Banking and Finance in Malaysia is modern and comprehensive after the enactment of </w:t>
      </w:r>
      <w:r w:rsidR="007C26B4">
        <w:t xml:space="preserve">IFSA 2013 </w:t>
      </w:r>
      <w:r>
        <w:t>and Financial Services Act 2013 (FSA 2013)</w:t>
      </w:r>
      <w:r w:rsidR="00FA3BCF">
        <w:t xml:space="preserve"> (Sheila,2013)</w:t>
      </w:r>
      <w:r>
        <w:t xml:space="preserve">. Nonetheless one can question whether </w:t>
      </w:r>
      <w:r>
        <w:lastRenderedPageBreak/>
        <w:t>the regulatory framework for DFIs in Malaysia is comprehensive enough after the amendments to DFIA 2002, to what extend it is consistent with the provisions under IFSA 2013, and whether it can achieve its objectives in regulating the Islamic banking business activities</w:t>
      </w:r>
      <w:r w:rsidR="00FA3BCF">
        <w:t xml:space="preserve"> (Yaacob,2013)</w:t>
      </w:r>
      <w:r>
        <w:t>. This study proposes to bridge this gap with specific focus on the laws regulations regulating conversion of DFIs. It also meant to fill the research gap of the available literatures pertaining to DFIs and DFIA 2002.</w:t>
      </w:r>
    </w:p>
    <w:p w14:paraId="4B1C1F2F" w14:textId="77777777" w:rsidR="00C14A7C" w:rsidRDefault="00C14A7C" w:rsidP="00C14A7C"/>
    <w:p w14:paraId="633D1E1D" w14:textId="1FCC955D" w:rsidR="00C14A7C" w:rsidRDefault="004A0928" w:rsidP="00C14A7C">
      <w:pPr>
        <w:pStyle w:val="heading2"/>
        <w:spacing w:before="0"/>
      </w:pPr>
      <w:r>
        <w:t xml:space="preserve">Development Financial Institutions </w:t>
      </w:r>
      <w:r w:rsidR="004C4B93">
        <w:t xml:space="preserve">Act 2002 </w:t>
      </w:r>
    </w:p>
    <w:p w14:paraId="426ED328" w14:textId="2E4B8E4D" w:rsidR="00F729B8" w:rsidRDefault="004C4B93" w:rsidP="004C4B93">
      <w:pPr>
        <w:ind w:firstLine="0"/>
      </w:pPr>
      <w:r>
        <w:t>DFIA 2002 is an Act</w:t>
      </w:r>
      <w:r w:rsidR="00614961">
        <w:t xml:space="preserve"> that gives statutory authority to BNM</w:t>
      </w:r>
      <w:r>
        <w:t xml:space="preserve"> to regulat</w:t>
      </w:r>
      <w:r w:rsidR="00614961">
        <w:t>e</w:t>
      </w:r>
      <w:r>
        <w:t xml:space="preserve"> and supervi</w:t>
      </w:r>
      <w:r w:rsidR="00614961">
        <w:t>se</w:t>
      </w:r>
      <w:r>
        <w:t xml:space="preserve"> </w:t>
      </w:r>
      <w:r w:rsidR="00614961">
        <w:t>DFIs in Malaysia</w:t>
      </w:r>
      <w:r>
        <w:t xml:space="preserve">. Section 3 of DFIA 2002 defines DFIs to mean </w:t>
      </w:r>
      <w:r w:rsidR="00614961">
        <w:t>“</w:t>
      </w:r>
      <w:r>
        <w:t>an institution which carries on any activity, whether for profit or otherwise, with or without any Government funding, with the purpose of promoting development in the industrial, agricultural, commercial or other economic sector, including the provision of capital or other financing facility</w:t>
      </w:r>
      <w:r w:rsidR="00614961">
        <w:t>” (DFIA, 2002). The term</w:t>
      </w:r>
      <w:r>
        <w:t xml:space="preserve"> “development” </w:t>
      </w:r>
      <w:r w:rsidR="00614961">
        <w:t xml:space="preserve">refers in DFIA 2002 </w:t>
      </w:r>
      <w:r>
        <w:t xml:space="preserve">includes </w:t>
      </w:r>
      <w:r w:rsidR="00614961">
        <w:t>“</w:t>
      </w:r>
      <w:r>
        <w:t>the commencement of any new industrial, agricultural, commercial or other economic venture or the expansion or improvement of any such existing venture</w:t>
      </w:r>
      <w:r w:rsidR="00614961">
        <w:t>” (DFIA,2002).</w:t>
      </w:r>
      <w:r>
        <w:t xml:space="preserve"> </w:t>
      </w:r>
    </w:p>
    <w:p w14:paraId="550D77EE" w14:textId="6CE436AC" w:rsidR="004C4B93" w:rsidRDefault="00614961" w:rsidP="00F729B8">
      <w:r>
        <w:t xml:space="preserve">Under </w:t>
      </w:r>
      <w:r w:rsidR="004C4B93">
        <w:t xml:space="preserve">DFIA 2002, </w:t>
      </w:r>
      <w:r w:rsidR="00FD5618">
        <w:t xml:space="preserve">selected </w:t>
      </w:r>
      <w:r w:rsidR="004C4B93">
        <w:t xml:space="preserve">DFIs </w:t>
      </w:r>
      <w:r w:rsidR="00FD5618">
        <w:t>has to be</w:t>
      </w:r>
      <w:r w:rsidR="004C4B93">
        <w:t xml:space="preserve"> prescribed </w:t>
      </w:r>
      <w:r w:rsidR="00FD5618">
        <w:t xml:space="preserve">and </w:t>
      </w:r>
      <w:proofErr w:type="spellStart"/>
      <w:r w:rsidR="00FD5618">
        <w:t>gazette</w:t>
      </w:r>
      <w:r w:rsidR="00ED2731">
        <w:t>d</w:t>
      </w:r>
      <w:proofErr w:type="spellEnd"/>
      <w:r w:rsidR="00FD5618">
        <w:t xml:space="preserve"> </w:t>
      </w:r>
      <w:r w:rsidR="004C4B93">
        <w:t xml:space="preserve">under </w:t>
      </w:r>
      <w:r w:rsidR="00FD5618">
        <w:t>the law to be</w:t>
      </w:r>
      <w:r w:rsidR="004C4B93">
        <w:t xml:space="preserve"> placed under the purview of </w:t>
      </w:r>
      <w:r w:rsidR="00414D47">
        <w:t>BNM</w:t>
      </w:r>
      <w:r w:rsidR="004C4B93">
        <w:t xml:space="preserve">. Prescribed institution further means </w:t>
      </w:r>
      <w:r w:rsidR="00FD5618">
        <w:t>“</w:t>
      </w:r>
      <w:r w:rsidR="004C4B93">
        <w:t>a development financial institution which is prescribed by the Minister of Finance under subsection 2(1) of DFIA 2002</w:t>
      </w:r>
      <w:r w:rsidR="00FD5618">
        <w:t>” (DFIA,2002)</w:t>
      </w:r>
      <w:r w:rsidR="004C4B93">
        <w:t>. This mark the major difference between DFIs and other commercial Banks and investments banks licensed under the Financial Services Act 2013 (FSA 2013) and other Islamic Banks and International Islami</w:t>
      </w:r>
      <w:r w:rsidR="007C26B4">
        <w:t>c banks licensed under the IFSA 2013</w:t>
      </w:r>
      <w:r w:rsidR="004C4B93">
        <w:t>. The licen</w:t>
      </w:r>
      <w:r w:rsidR="00ED2731">
        <w:t>s</w:t>
      </w:r>
      <w:r w:rsidR="004C4B93">
        <w:t xml:space="preserve">es are issued by Minister of Finance empowered under the FSA 2013 and IFSA 2013 who may, in circumstances permitted under the FSA or the IFSA. On the other hand, DFIs are not licensed institutions to operate and carrying on conventional and Islamic Banking and finance business. </w:t>
      </w:r>
    </w:p>
    <w:p w14:paraId="09E89BB3" w14:textId="2B24561B" w:rsidR="00F729B8" w:rsidRDefault="004C4B93" w:rsidP="00F729B8">
      <w:r>
        <w:t xml:space="preserve">The Minister of Finance is given the authority under Section 2(1) of the Act to prescribe any DFIs to be regulated and supervised under DFIA 2002 on the recommendation of BNM as provided under Section 2(2). Upon prescription by Minister of Finance and recommendation by BNM, an order will be published in the Gazette and issued to the prescribed DFIs. According to BNM, DFIA 2002 is structured to allow flexible application of the Act on selected DFI or on specific role. </w:t>
      </w:r>
    </w:p>
    <w:p w14:paraId="264EE1AF" w14:textId="77777777" w:rsidR="00F729B8" w:rsidRDefault="004C4B93" w:rsidP="00F729B8">
      <w:r>
        <w:t xml:space="preserve">Secondly, DFIA 2002 empowers BNM to be the administrator and regulatory body of the Act which serves as the centralized supervisory body for DFIs. BNM aims at ensuring effective and dynamic supervision of DFIs. </w:t>
      </w:r>
    </w:p>
    <w:p w14:paraId="00956354" w14:textId="323C5BBA" w:rsidR="00F729B8" w:rsidRDefault="004C4B93" w:rsidP="00F729B8">
      <w:r>
        <w:t xml:space="preserve">Thirdly, DFIA 2002 provides several mechanisms to enable </w:t>
      </w:r>
      <w:r w:rsidR="00414D47">
        <w:t>BNM</w:t>
      </w:r>
      <w:r>
        <w:t xml:space="preserve"> to monitor the role and objectives of DFIs. Among others, DFIA 2002 requires DFIs to submit their proposed business and development activities and projected sources of funding on an annual basis to BNM. In addition, BNM is empowered to specify lending activities of the DFIs. DFIA 2002 also provides a mechanism to monitor the management of Government-allocated funds to ensure that the funds are prudently </w:t>
      </w:r>
      <w:proofErr w:type="spellStart"/>
      <w:r>
        <w:t>utilised</w:t>
      </w:r>
      <w:proofErr w:type="spellEnd"/>
      <w:r>
        <w:t xml:space="preserve"> for their specified purposes. </w:t>
      </w:r>
    </w:p>
    <w:p w14:paraId="5015E7E5" w14:textId="77777777" w:rsidR="00F729B8" w:rsidRDefault="004C4B93" w:rsidP="00F729B8">
      <w:r>
        <w:t xml:space="preserve">Fourthly, DFIA 2002 emphasized on efficient management and effective corporate governance by prescribing the procedures for the appointment of directors and Chief </w:t>
      </w:r>
      <w:r>
        <w:lastRenderedPageBreak/>
        <w:t xml:space="preserve">Executive Officer. The Act also provides adequate mechanism to enhance disclosure of information in a timely and transparent manner. This is aimed at harnessing sufficient check and management. </w:t>
      </w:r>
    </w:p>
    <w:p w14:paraId="62A33351" w14:textId="77777777" w:rsidR="00F729B8" w:rsidRDefault="004C4B93" w:rsidP="00F729B8">
      <w:r>
        <w:t xml:space="preserve">Fifthly, DFIA 2002 provides a comprehensive supervision mechanism which incorporates prudential rules, on-site supervision, reporting requirements and disclosure standards. It also provides the regulator with the necessary powers to deal with any mismanagement and malpractices. </w:t>
      </w:r>
    </w:p>
    <w:p w14:paraId="32D186B8" w14:textId="29F49041" w:rsidR="004C4B93" w:rsidRDefault="004C4B93" w:rsidP="00F729B8">
      <w:r>
        <w:t>Sixthly, DFIA 2002 provides the mechanism to strengthen the financial position of DFIs through the specification of prudential requirements such as in the management of assets, capital and liquidity management.</w:t>
      </w:r>
    </w:p>
    <w:p w14:paraId="436B69DE" w14:textId="77777777" w:rsidR="00C14A7C" w:rsidRDefault="00C14A7C" w:rsidP="00C14A7C">
      <w:pPr>
        <w:ind w:firstLine="0"/>
      </w:pPr>
    </w:p>
    <w:p w14:paraId="55C65270" w14:textId="77777777" w:rsidR="0002644B" w:rsidRDefault="0002644B" w:rsidP="00F729B8">
      <w:pPr>
        <w:ind w:firstLine="0"/>
      </w:pPr>
    </w:p>
    <w:p w14:paraId="65A09C07" w14:textId="7B69DF49" w:rsidR="00237552" w:rsidRDefault="00237552" w:rsidP="004C4B93">
      <w:pPr>
        <w:pStyle w:val="heading2"/>
        <w:spacing w:before="0"/>
      </w:pPr>
      <w:r>
        <w:t>The provision of laws governing Islamic Banking Business of DFIs under DFIA 2002 prior to its amendment</w:t>
      </w:r>
    </w:p>
    <w:p w14:paraId="752C8D19" w14:textId="77777777" w:rsidR="00237552" w:rsidRDefault="00237552" w:rsidP="00237552">
      <w:pPr>
        <w:pStyle w:val="p1a"/>
      </w:pPr>
      <w:r>
        <w:t xml:space="preserve">It is important to note that the Islamic banking business and Islamic financial business carried out by DFIs was previously regulated under the ambit of Section 129 DFIA 2002 prior to its amendments effective in 2016. </w:t>
      </w:r>
    </w:p>
    <w:p w14:paraId="6FFFF6E3" w14:textId="05B2A94E" w:rsidR="00237552" w:rsidRDefault="00237552" w:rsidP="00C0521A">
      <w:pPr>
        <w:pStyle w:val="p1a"/>
        <w:ind w:firstLine="227"/>
      </w:pPr>
      <w:r>
        <w:t xml:space="preserve">Section 129(1) of the Act </w:t>
      </w:r>
      <w:r w:rsidR="00614961">
        <w:t xml:space="preserve">is a statutory provision of the law that give permission to DFIs </w:t>
      </w:r>
      <w:r w:rsidR="00614961" w:rsidRPr="00614961">
        <w:t>to carry out Islamic Banking Business as Islamic Banking Window with approval of BNM.</w:t>
      </w:r>
      <w:r>
        <w:t xml:space="preserve"> Section 129 (2) of the Act further provides that th</w:t>
      </w:r>
      <w:r w:rsidR="00614961">
        <w:t>e</w:t>
      </w:r>
      <w:r>
        <w:t xml:space="preserve"> Islamic banking business or Islamic financial business carried on by DFIs shall be subject</w:t>
      </w:r>
      <w:r w:rsidR="00C0521A">
        <w:t xml:space="preserve"> to the provision of DFIA 2002. </w:t>
      </w:r>
      <w:r>
        <w:t xml:space="preserve">Under Section 129(3) of the Act, BNM may issue directions to DFIs on matters relating to Islamic banking business or any other Islamic financial business and DFIs shall comply with the BNM’s written direction. </w:t>
      </w:r>
    </w:p>
    <w:p w14:paraId="776BE570" w14:textId="730C9D0E" w:rsidR="00237552" w:rsidRDefault="00237552" w:rsidP="00237552">
      <w:pPr>
        <w:pStyle w:val="p1a"/>
        <w:ind w:firstLine="227"/>
      </w:pPr>
      <w:r>
        <w:t xml:space="preserve">Pursuant Section 129(4) of the Act, DFIs may seek the advice of the Syariah Advisory Council on the operations of carrying on Islamic banking business or Islamic financial business in order to ensure that it does not involve any element which is not approved by the religion of Islam. Section 129(5) specified that the term Islamic banking business referred to in this Act shall has the same meaning assigned to it by the Islamic Banking Act 1983 and the term Islamic financial business shall mean any Islamic financial business, the aims and operations of which do not involve any element which is not approved by the religion of Islam. </w:t>
      </w:r>
    </w:p>
    <w:p w14:paraId="014DE045" w14:textId="24837008" w:rsidR="00237552" w:rsidRDefault="00C0521A" w:rsidP="00237552">
      <w:pPr>
        <w:pStyle w:val="p1a"/>
        <w:ind w:firstLine="227"/>
      </w:pPr>
      <w:r>
        <w:t xml:space="preserve">The abolishment of </w:t>
      </w:r>
      <w:r w:rsidR="00237552">
        <w:t xml:space="preserve">Section 129 of DFIA 2002 </w:t>
      </w:r>
      <w:r w:rsidR="00FE08EF">
        <w:t>was effective on 31st January 2016 with the insertion of</w:t>
      </w:r>
      <w:r w:rsidR="00237552">
        <w:t xml:space="preserve"> new </w:t>
      </w:r>
      <w:r w:rsidR="00FE08EF">
        <w:t xml:space="preserve">Shariah Requirements under </w:t>
      </w:r>
      <w:r w:rsidR="00237552">
        <w:t xml:space="preserve">Part IIIA of DFIA 2002 on Islamic Financial Business. DFIs are not required under DFIA 2002 to obtain license under IFSA 2013 to carry out Islamic banking business and Islamic financial business because of its unique nature as regulated under DFIA 2002. The requirement on incorporation of Islamic bank is not applicable to DFIs.  It is observed that, there is no specific guideline issued on the process of conversion and transformation of DFIs into </w:t>
      </w:r>
      <w:r w:rsidR="00FC07CC">
        <w:t>Islamic DFIs.</w:t>
      </w:r>
      <w:r w:rsidR="00237552">
        <w:t xml:space="preserve"> </w:t>
      </w:r>
      <w:r w:rsidR="00FC07CC">
        <w:t>I</w:t>
      </w:r>
      <w:r w:rsidR="00237552">
        <w:t>t is subject to internal policy and strategic direction of the respective DFIs within its Corporate Governance Framework and upon seeking Shariah advice from its Shariah Committee</w:t>
      </w:r>
      <w:r w:rsidR="00FE08EF">
        <w:t xml:space="preserve"> (Exim Bank,2020)</w:t>
      </w:r>
      <w:r w:rsidR="00237552">
        <w:t xml:space="preserve">. </w:t>
      </w:r>
    </w:p>
    <w:p w14:paraId="5D8EA7BC" w14:textId="0861217C" w:rsidR="00237552" w:rsidRDefault="00237552" w:rsidP="00237552">
      <w:pPr>
        <w:pStyle w:val="p1a"/>
        <w:ind w:firstLine="227"/>
      </w:pPr>
      <w:r>
        <w:t xml:space="preserve">In regulating and supervising the DFIs, BNM is recognising the unique characteristics and functions of the DFIs, where the relevant stakeholders and ministries of the </w:t>
      </w:r>
      <w:r>
        <w:lastRenderedPageBreak/>
        <w:t>respective DFIs continue to be accorded the responsibility to provide broad policy direction on the strategic roles and targeted sectors supported by each institution.</w:t>
      </w:r>
    </w:p>
    <w:p w14:paraId="00987E29" w14:textId="77777777" w:rsidR="00237552" w:rsidRPr="00237552" w:rsidRDefault="00237552" w:rsidP="00237552"/>
    <w:p w14:paraId="704B484B" w14:textId="77777777" w:rsidR="004C4B93" w:rsidRDefault="004C4B93" w:rsidP="004C4B93">
      <w:pPr>
        <w:pStyle w:val="heading2"/>
        <w:spacing w:before="0"/>
      </w:pPr>
      <w:r>
        <w:t>Amendments to Development Financial Institutions Act 2002 in 2015</w:t>
      </w:r>
    </w:p>
    <w:p w14:paraId="3F1CE3D7" w14:textId="3BC67FBC" w:rsidR="00280710" w:rsidRPr="00280710" w:rsidRDefault="007C26B4" w:rsidP="00513417">
      <w:pPr>
        <w:ind w:firstLine="0"/>
      </w:pPr>
      <w:r w:rsidRPr="007C26B4">
        <w:t>Development Financial Institutions (Amendment) Act 2015 (A</w:t>
      </w:r>
      <w:r>
        <w:t>ct 618) is an Act to amend DFIA</w:t>
      </w:r>
      <w:r w:rsidRPr="007C26B4">
        <w:t xml:space="preserve"> 2002</w:t>
      </w:r>
      <w:r>
        <w:t xml:space="preserve"> effective on 31</w:t>
      </w:r>
      <w:r w:rsidRPr="00DB0DEB">
        <w:rPr>
          <w:vertAlign w:val="superscript"/>
        </w:rPr>
        <w:t>st</w:t>
      </w:r>
      <w:r>
        <w:t xml:space="preserve"> </w:t>
      </w:r>
      <w:r w:rsidRPr="00F729B8">
        <w:t>January 2016</w:t>
      </w:r>
      <w:r w:rsidRPr="007C26B4">
        <w:t xml:space="preserve">. </w:t>
      </w:r>
      <w:r w:rsidR="00513417">
        <w:t>M</w:t>
      </w:r>
      <w:r w:rsidR="00F729B8" w:rsidRPr="00F729B8">
        <w:t xml:space="preserve">ajor amendments to </w:t>
      </w:r>
      <w:r>
        <w:t>DFIA 2002</w:t>
      </w:r>
      <w:r w:rsidR="00DB0DEB">
        <w:t xml:space="preserve"> </w:t>
      </w:r>
      <w:r w:rsidR="00F729B8" w:rsidRPr="00F729B8">
        <w:t>have been enforced to DFIs focusing on the enhanced areas and new area</w:t>
      </w:r>
      <w:r>
        <w:t>s</w:t>
      </w:r>
      <w:r w:rsidR="00A922AF">
        <w:t xml:space="preserve">. </w:t>
      </w:r>
      <w:r w:rsidR="00513417">
        <w:t xml:space="preserve"> </w:t>
      </w:r>
      <w:r w:rsidR="00280710" w:rsidRPr="00280710">
        <w:t>There are three (3) enhanced areas incorporated in DFIA 2002; (i) Corporate Governance, (ii) Business activities of DFIs, and (iii) Regulatory oversight. The new areas include (i) Shariah governance, (ii) Business conduct and consumer protectio</w:t>
      </w:r>
      <w:r w:rsidR="00280710">
        <w:t xml:space="preserve">n, (iii) Enforcement framework </w:t>
      </w:r>
      <w:r w:rsidR="00280710" w:rsidRPr="00280710">
        <w:t xml:space="preserve">(BNM,2015). </w:t>
      </w:r>
    </w:p>
    <w:p w14:paraId="33427648" w14:textId="79C9EF5C" w:rsidR="00F729B8" w:rsidRDefault="00F729B8" w:rsidP="00F729B8">
      <w:r w:rsidRPr="00F729B8">
        <w:t xml:space="preserve">The enhanced regulatory framework for DFIs shall continue to preserve </w:t>
      </w:r>
      <w:r w:rsidR="00FC07CC">
        <w:t>DFIs</w:t>
      </w:r>
      <w:r w:rsidRPr="00F729B8">
        <w:t xml:space="preserve"> unique characteristics in meeting its socio-economic mandates whilst maintaining its operational safety and soundness. In addition, the changes made also keep abreast with the changes in other regulatory laws governing financial institutions</w:t>
      </w:r>
      <w:r w:rsidR="00AA3EF7">
        <w:t xml:space="preserve"> (BNM,2015).</w:t>
      </w:r>
    </w:p>
    <w:p w14:paraId="23DE45FE" w14:textId="4901DD9D" w:rsidR="00F729B8" w:rsidRDefault="00A922AF" w:rsidP="00E4786C">
      <w:r>
        <w:t xml:space="preserve">Act 618 amended DFIA </w:t>
      </w:r>
      <w:r w:rsidRPr="00B54FB4">
        <w:t xml:space="preserve">2002 </w:t>
      </w:r>
      <w:r w:rsidR="007C26B4">
        <w:t>amongst other</w:t>
      </w:r>
      <w:r w:rsidR="007C26B4" w:rsidRPr="00B54FB4">
        <w:t xml:space="preserve"> </w:t>
      </w:r>
      <w:r w:rsidR="0057114B">
        <w:t xml:space="preserve">by inserting </w:t>
      </w:r>
      <w:r w:rsidRPr="00B54FB4">
        <w:t xml:space="preserve">the </w:t>
      </w:r>
      <w:r>
        <w:t xml:space="preserve">new </w:t>
      </w:r>
      <w:r w:rsidRPr="00B54FB4">
        <w:t>Part IIIA on Islamic Financia</w:t>
      </w:r>
      <w:r w:rsidR="00C07B2B">
        <w:t>l Business that gives permission to DFIs</w:t>
      </w:r>
      <w:r w:rsidR="0057114B" w:rsidRPr="00F67781">
        <w:t xml:space="preserve"> to carry on </w:t>
      </w:r>
      <w:r w:rsidR="00C07B2B">
        <w:t xml:space="preserve">entire </w:t>
      </w:r>
      <w:r w:rsidR="0057114B" w:rsidRPr="00F67781">
        <w:t xml:space="preserve">business or activity in accordance with Shariah </w:t>
      </w:r>
      <w:r w:rsidR="00C07B2B">
        <w:t xml:space="preserve">under Section 33B(1)(a) or Islamic Banking Window under Section 33B(1)(b) </w:t>
      </w:r>
      <w:r w:rsidR="0057114B" w:rsidRPr="00F67781">
        <w:t>with the pr</w:t>
      </w:r>
      <w:r w:rsidR="0057114B">
        <w:t>ior written approval of the BNM. The new Part IIIA</w:t>
      </w:r>
      <w:r w:rsidR="0057114B" w:rsidRPr="00F67781">
        <w:t xml:space="preserve"> also provid</w:t>
      </w:r>
      <w:r w:rsidR="0057114B">
        <w:t>es that DFI</w:t>
      </w:r>
      <w:r w:rsidR="0057114B" w:rsidRPr="00F67781">
        <w:t xml:space="preserve"> shall ensure that its business, affairs and activities are in compliance with Shariah at all times and shall, if it becomes aware of any non</w:t>
      </w:r>
      <w:r w:rsidR="0057114B">
        <w:t>-compliance, notify the BNM</w:t>
      </w:r>
      <w:r w:rsidR="0057114B" w:rsidRPr="00F67781">
        <w:t xml:space="preserve"> of the fact, cease from carrying on such business, affairs or activities and submit a plan to rectify the n</w:t>
      </w:r>
      <w:r w:rsidR="0057114B">
        <w:t>on-compliance. The new Part IIIA empowers the BNM</w:t>
      </w:r>
      <w:r w:rsidR="0057114B" w:rsidRPr="00F67781">
        <w:t xml:space="preserve"> to specify, in accordance with the advice of the Shariah Advisory Council, standards on Shariah matters which require the ascertainment of Islamic law by the Shariah Advisory Council.</w:t>
      </w:r>
      <w:r w:rsidR="0057114B">
        <w:t xml:space="preserve"> </w:t>
      </w:r>
      <w:r w:rsidR="00F729B8" w:rsidRPr="00F729B8">
        <w:t xml:space="preserve">The highlights of the </w:t>
      </w:r>
      <w:r w:rsidR="00E4786C">
        <w:t xml:space="preserve">two (2) </w:t>
      </w:r>
      <w:r w:rsidR="00F729B8" w:rsidRPr="00F729B8">
        <w:t>changes made to the Act are as follows:</w:t>
      </w:r>
    </w:p>
    <w:p w14:paraId="6A4EE9E1" w14:textId="77777777" w:rsidR="00237552" w:rsidRDefault="00237552" w:rsidP="004C4B93">
      <w:pPr>
        <w:ind w:firstLine="0"/>
      </w:pPr>
    </w:p>
    <w:p w14:paraId="39289199" w14:textId="1E0C531E" w:rsidR="00DB0DEB" w:rsidRDefault="00DB0DEB" w:rsidP="00DB0DEB">
      <w:pPr>
        <w:ind w:firstLine="0"/>
        <w:jc w:val="center"/>
      </w:pPr>
      <w:r>
        <w:rPr>
          <w:b/>
        </w:rPr>
        <w:t>Table 1</w:t>
      </w:r>
      <w:r w:rsidRPr="00DB0DEB">
        <w:rPr>
          <w:b/>
        </w:rPr>
        <w:t>.</w:t>
      </w:r>
      <w:r>
        <w:t xml:space="preserve"> The </w:t>
      </w:r>
      <w:r w:rsidR="00863E94">
        <w:t>highlight</w:t>
      </w:r>
      <w:r w:rsidR="00AA3EF7">
        <w:t>s</w:t>
      </w:r>
      <w:r w:rsidR="00863E94">
        <w:t xml:space="preserve"> of two (2) </w:t>
      </w:r>
      <w:r>
        <w:t>new areas inserted in DFIA 2002</w:t>
      </w:r>
    </w:p>
    <w:p w14:paraId="136C1672" w14:textId="27839803" w:rsidR="00D54191" w:rsidRDefault="00D54191" w:rsidP="00DB0DEB">
      <w:pPr>
        <w:ind w:firstLine="0"/>
        <w:jc w:val="center"/>
      </w:pPr>
      <w:r>
        <w:t>Source: Authors’ Selection</w:t>
      </w:r>
    </w:p>
    <w:p w14:paraId="2869BDEE" w14:textId="77777777" w:rsidR="00DB0DEB" w:rsidRDefault="00DB0DEB" w:rsidP="00DB0DEB">
      <w:pPr>
        <w:ind w:firstLine="0"/>
        <w:jc w:val="center"/>
      </w:pPr>
    </w:p>
    <w:tbl>
      <w:tblPr>
        <w:tblStyle w:val="TableGrid"/>
        <w:tblW w:w="0" w:type="auto"/>
        <w:tblInd w:w="-5" w:type="dxa"/>
        <w:tblLook w:val="04A0" w:firstRow="1" w:lastRow="0" w:firstColumn="1" w:lastColumn="0" w:noHBand="0" w:noVBand="1"/>
      </w:tblPr>
      <w:tblGrid>
        <w:gridCol w:w="567"/>
        <w:gridCol w:w="3147"/>
        <w:gridCol w:w="3199"/>
      </w:tblGrid>
      <w:tr w:rsidR="00F729B8" w:rsidRPr="00FA3BCF" w14:paraId="0F984EF5" w14:textId="77777777" w:rsidTr="00F729B8">
        <w:tc>
          <w:tcPr>
            <w:tcW w:w="6913" w:type="dxa"/>
            <w:gridSpan w:val="3"/>
          </w:tcPr>
          <w:p w14:paraId="594A39CD" w14:textId="77777777" w:rsidR="00F729B8" w:rsidRPr="00FA3BCF" w:rsidRDefault="00F729B8" w:rsidP="00F729B8">
            <w:pPr>
              <w:spacing w:line="240" w:lineRule="atLeast"/>
              <w:ind w:firstLine="0"/>
              <w:rPr>
                <w:rFonts w:ascii="Times New Roman" w:hAnsi="Times New Roman" w:cs="Times New Roman"/>
                <w:bCs/>
                <w:sz w:val="18"/>
                <w:szCs w:val="18"/>
              </w:rPr>
            </w:pPr>
            <w:r w:rsidRPr="00FA3BCF">
              <w:rPr>
                <w:rFonts w:ascii="Times New Roman" w:hAnsi="Times New Roman" w:cs="Times New Roman"/>
                <w:bCs/>
                <w:sz w:val="18"/>
                <w:szCs w:val="18"/>
              </w:rPr>
              <w:t>Shariah requirements</w:t>
            </w:r>
          </w:p>
        </w:tc>
      </w:tr>
      <w:tr w:rsidR="00F729B8" w:rsidRPr="00FA3BCF" w14:paraId="566D86A6" w14:textId="77777777" w:rsidTr="00F729B8">
        <w:tc>
          <w:tcPr>
            <w:tcW w:w="567" w:type="dxa"/>
          </w:tcPr>
          <w:p w14:paraId="6119CC8B" w14:textId="29F5A799" w:rsidR="00F729B8" w:rsidRPr="00FA3BCF" w:rsidRDefault="00F729B8" w:rsidP="00F729B8">
            <w:pPr>
              <w:spacing w:line="240" w:lineRule="atLeast"/>
              <w:ind w:firstLine="0"/>
              <w:rPr>
                <w:rFonts w:ascii="Times New Roman" w:eastAsia="Times New Roman" w:hAnsi="Times New Roman" w:cs="Times New Roman"/>
                <w:bCs/>
                <w:sz w:val="18"/>
                <w:szCs w:val="18"/>
                <w:lang w:val="en-MY"/>
              </w:rPr>
            </w:pPr>
            <w:r w:rsidRPr="00FA3BCF">
              <w:rPr>
                <w:rFonts w:ascii="Times New Roman" w:eastAsia="Times New Roman" w:hAnsi="Times New Roman" w:cs="Times New Roman"/>
                <w:bCs/>
                <w:sz w:val="18"/>
                <w:szCs w:val="18"/>
                <w:lang w:val="en-MY"/>
              </w:rPr>
              <w:t>1</w:t>
            </w:r>
          </w:p>
        </w:tc>
        <w:tc>
          <w:tcPr>
            <w:tcW w:w="3147" w:type="dxa"/>
          </w:tcPr>
          <w:p w14:paraId="35C8CB89" w14:textId="77777777" w:rsidR="00F729B8" w:rsidRPr="00FA3BCF" w:rsidRDefault="00F729B8" w:rsidP="00F729B8">
            <w:pPr>
              <w:spacing w:line="240" w:lineRule="atLeast"/>
              <w:ind w:firstLine="0"/>
              <w:rPr>
                <w:rFonts w:ascii="Times New Roman" w:hAnsi="Times New Roman" w:cs="Times New Roman"/>
                <w:bCs/>
                <w:sz w:val="18"/>
                <w:szCs w:val="18"/>
              </w:rPr>
            </w:pPr>
            <w:r w:rsidRPr="00FA3BCF">
              <w:rPr>
                <w:rFonts w:ascii="Times New Roman" w:hAnsi="Times New Roman" w:cs="Times New Roman"/>
                <w:bCs/>
                <w:sz w:val="18"/>
                <w:szCs w:val="18"/>
              </w:rPr>
              <w:t>To ensure that the Islamic business activities of the DFIs comply with the same Shariah requirements as imposed on Islamic banks under the Islamic Financial Services Act 2013</w:t>
            </w:r>
          </w:p>
        </w:tc>
        <w:tc>
          <w:tcPr>
            <w:tcW w:w="3199" w:type="dxa"/>
          </w:tcPr>
          <w:p w14:paraId="733514D8" w14:textId="679FB5C9" w:rsidR="00F729B8" w:rsidRPr="00FA3BCF" w:rsidRDefault="00F729B8" w:rsidP="00C07B2B">
            <w:pPr>
              <w:spacing w:line="240" w:lineRule="atLeast"/>
              <w:ind w:firstLine="0"/>
              <w:rPr>
                <w:rFonts w:ascii="Times New Roman" w:hAnsi="Times New Roman" w:cs="Times New Roman"/>
                <w:bCs/>
                <w:sz w:val="18"/>
                <w:szCs w:val="18"/>
              </w:rPr>
            </w:pPr>
            <w:r w:rsidRPr="00FA3BCF">
              <w:rPr>
                <w:rFonts w:ascii="Times New Roman" w:hAnsi="Times New Roman" w:cs="Times New Roman"/>
                <w:bCs/>
                <w:sz w:val="18"/>
                <w:szCs w:val="18"/>
              </w:rPr>
              <w:t xml:space="preserve">Part IIIA: Section 33A-33N prescribe the Shariah requirements on areas which include Shariah compliance and Shariah governance as well as audit on Shariah matters. </w:t>
            </w:r>
          </w:p>
        </w:tc>
      </w:tr>
      <w:tr w:rsidR="00F729B8" w:rsidRPr="00FA3BCF" w14:paraId="5442316D" w14:textId="77777777" w:rsidTr="00F729B8">
        <w:tc>
          <w:tcPr>
            <w:tcW w:w="6913" w:type="dxa"/>
            <w:gridSpan w:val="3"/>
          </w:tcPr>
          <w:p w14:paraId="56DF6C14" w14:textId="77777777" w:rsidR="00F729B8" w:rsidRPr="00FA3BCF" w:rsidRDefault="00F729B8" w:rsidP="00F729B8">
            <w:pPr>
              <w:spacing w:line="240" w:lineRule="atLeast"/>
              <w:ind w:firstLine="0"/>
              <w:rPr>
                <w:rFonts w:ascii="Times New Roman" w:hAnsi="Times New Roman" w:cs="Times New Roman"/>
                <w:bCs/>
                <w:sz w:val="18"/>
                <w:szCs w:val="18"/>
              </w:rPr>
            </w:pPr>
            <w:r w:rsidRPr="00FA3BCF">
              <w:rPr>
                <w:rFonts w:ascii="Times New Roman" w:hAnsi="Times New Roman" w:cs="Times New Roman"/>
                <w:bCs/>
                <w:sz w:val="18"/>
                <w:szCs w:val="18"/>
              </w:rPr>
              <w:t>Regulatory enforcement framework</w:t>
            </w:r>
          </w:p>
        </w:tc>
      </w:tr>
      <w:tr w:rsidR="00F729B8" w:rsidRPr="00FA3BCF" w14:paraId="0323683A" w14:textId="77777777" w:rsidTr="00F729B8">
        <w:tc>
          <w:tcPr>
            <w:tcW w:w="567" w:type="dxa"/>
          </w:tcPr>
          <w:p w14:paraId="0A6F0D99" w14:textId="6F2B00C2" w:rsidR="00F729B8" w:rsidRPr="00FA3BCF" w:rsidRDefault="00863E94" w:rsidP="00F729B8">
            <w:pPr>
              <w:spacing w:line="240" w:lineRule="atLeast"/>
              <w:ind w:firstLine="0"/>
              <w:rPr>
                <w:rFonts w:ascii="Times New Roman" w:eastAsia="Times New Roman" w:hAnsi="Times New Roman" w:cs="Times New Roman"/>
                <w:bCs/>
                <w:sz w:val="18"/>
                <w:szCs w:val="18"/>
                <w:lang w:val="en-MY"/>
              </w:rPr>
            </w:pPr>
            <w:r w:rsidRPr="00FA3BCF">
              <w:rPr>
                <w:rFonts w:ascii="Times New Roman" w:eastAsia="Times New Roman" w:hAnsi="Times New Roman" w:cs="Times New Roman"/>
                <w:bCs/>
                <w:sz w:val="18"/>
                <w:szCs w:val="18"/>
                <w:lang w:val="en-MY"/>
              </w:rPr>
              <w:t>2</w:t>
            </w:r>
          </w:p>
        </w:tc>
        <w:tc>
          <w:tcPr>
            <w:tcW w:w="3147" w:type="dxa"/>
          </w:tcPr>
          <w:p w14:paraId="616968BE" w14:textId="77777777" w:rsidR="00F729B8" w:rsidRPr="00FA3BCF" w:rsidRDefault="00F729B8" w:rsidP="00F729B8">
            <w:pPr>
              <w:spacing w:line="240" w:lineRule="atLeast"/>
              <w:ind w:firstLine="0"/>
              <w:rPr>
                <w:rFonts w:ascii="Times New Roman" w:hAnsi="Times New Roman" w:cs="Times New Roman"/>
                <w:bCs/>
                <w:sz w:val="18"/>
                <w:szCs w:val="18"/>
              </w:rPr>
            </w:pPr>
            <w:r w:rsidRPr="00FA3BCF">
              <w:rPr>
                <w:rFonts w:ascii="Times New Roman" w:hAnsi="Times New Roman" w:cs="Times New Roman"/>
                <w:bCs/>
                <w:sz w:val="18"/>
                <w:szCs w:val="18"/>
              </w:rPr>
              <w:t>Provide a wider range of enforcement actions with the ability to respond effectively to non-compliance. This is to ensure that there is consistency in the financial services regulatory enforcement framework.</w:t>
            </w:r>
          </w:p>
        </w:tc>
        <w:tc>
          <w:tcPr>
            <w:tcW w:w="3199" w:type="dxa"/>
          </w:tcPr>
          <w:p w14:paraId="23E429C6" w14:textId="77777777" w:rsidR="00F729B8" w:rsidRPr="00FA3BCF" w:rsidRDefault="00F729B8" w:rsidP="00F729B8">
            <w:pPr>
              <w:spacing w:line="240" w:lineRule="atLeast"/>
              <w:ind w:firstLine="0"/>
              <w:rPr>
                <w:rFonts w:ascii="Times New Roman" w:hAnsi="Times New Roman" w:cs="Times New Roman"/>
                <w:bCs/>
                <w:sz w:val="18"/>
                <w:szCs w:val="18"/>
              </w:rPr>
            </w:pPr>
            <w:r w:rsidRPr="00FA3BCF">
              <w:rPr>
                <w:rFonts w:ascii="Times New Roman" w:hAnsi="Times New Roman" w:cs="Times New Roman"/>
                <w:bCs/>
                <w:sz w:val="18"/>
                <w:szCs w:val="18"/>
              </w:rPr>
              <w:t>Part VIIIA &amp; Part VIIIB: Section 106A-106L</w:t>
            </w:r>
            <w:r w:rsidRPr="00FA3BCF">
              <w:rPr>
                <w:rFonts w:ascii="Times New Roman" w:hAnsi="Times New Roman" w:cs="Times New Roman"/>
                <w:b/>
                <w:bCs/>
                <w:sz w:val="18"/>
                <w:szCs w:val="18"/>
              </w:rPr>
              <w:t xml:space="preserve"> </w:t>
            </w:r>
            <w:r w:rsidRPr="00FA3BCF">
              <w:rPr>
                <w:rFonts w:ascii="Times New Roman" w:hAnsi="Times New Roman" w:cs="Times New Roman"/>
                <w:bCs/>
                <w:sz w:val="18"/>
                <w:szCs w:val="18"/>
              </w:rPr>
              <w:t>incorporate broad and enabling provisions on penalty framework which encompass: (i) Administrative penalties, and (ii) Civil penalties, (iii) Criminal penalties</w:t>
            </w:r>
          </w:p>
        </w:tc>
      </w:tr>
    </w:tbl>
    <w:p w14:paraId="046CC61F" w14:textId="77777777" w:rsidR="00F729B8" w:rsidRDefault="00F729B8" w:rsidP="004C4B93">
      <w:pPr>
        <w:ind w:firstLine="0"/>
      </w:pPr>
    </w:p>
    <w:p w14:paraId="4AB6286F" w14:textId="65363EC6" w:rsidR="00F729B8" w:rsidRDefault="00F729B8" w:rsidP="00F729B8">
      <w:r w:rsidRPr="00F729B8">
        <w:t>In order to ensure that the Islamic business activities of the DFIs comply with the same Shariah requirements as im</w:t>
      </w:r>
      <w:r w:rsidR="0024297C">
        <w:t>posed on Islamic banks under Part IV</w:t>
      </w:r>
      <w:r w:rsidRPr="00F729B8">
        <w:t xml:space="preserve"> </w:t>
      </w:r>
      <w:r w:rsidR="0024297C">
        <w:t xml:space="preserve">IFSA </w:t>
      </w:r>
      <w:r w:rsidRPr="00F729B8">
        <w:t xml:space="preserve">2013, </w:t>
      </w:r>
      <w:r w:rsidR="0024297C">
        <w:t xml:space="preserve">new Part IIIA DFIA 2002 incorporates </w:t>
      </w:r>
      <w:r w:rsidR="00C876E1">
        <w:t xml:space="preserve">the same </w:t>
      </w:r>
      <w:r w:rsidR="0024297C">
        <w:t>provision</w:t>
      </w:r>
      <w:r w:rsidR="00C876E1">
        <w:t>s</w:t>
      </w:r>
      <w:r w:rsidR="0024297C">
        <w:t xml:space="preserve"> on Shariah Compliance, Shariah Governance and Audit on Shariah Compliance</w:t>
      </w:r>
      <w:r w:rsidR="00792E1E">
        <w:t xml:space="preserve"> equivalent to IFSA 2013</w:t>
      </w:r>
      <w:r w:rsidR="0024297C">
        <w:t>. T</w:t>
      </w:r>
      <w:r w:rsidRPr="00F729B8">
        <w:t xml:space="preserve">he requirements </w:t>
      </w:r>
      <w:r w:rsidR="0024297C">
        <w:t xml:space="preserve">of </w:t>
      </w:r>
      <w:r w:rsidR="0024297C" w:rsidRPr="00F729B8">
        <w:t xml:space="preserve">Section 33B </w:t>
      </w:r>
      <w:r w:rsidR="0024297C">
        <w:t xml:space="preserve">and 33C </w:t>
      </w:r>
      <w:r w:rsidR="0024297C" w:rsidRPr="00F729B8">
        <w:t xml:space="preserve">DFIA 2002 </w:t>
      </w:r>
      <w:r w:rsidR="0024297C">
        <w:t xml:space="preserve">are specific provision for DFIs to regulate </w:t>
      </w:r>
      <w:r w:rsidRPr="00F729B8">
        <w:t xml:space="preserve">the establishment of </w:t>
      </w:r>
      <w:r w:rsidR="0024297C">
        <w:t>Islamic DFIs under Section 33(1)(a) and to regulate the business and activity of Islamic Banking Window by DFIs</w:t>
      </w:r>
      <w:r w:rsidR="00C07B2B">
        <w:t xml:space="preserve"> with approval of DFIs</w:t>
      </w:r>
      <w:r w:rsidR="0024297C">
        <w:t xml:space="preserve">. </w:t>
      </w:r>
      <w:r w:rsidR="00C876E1">
        <w:t>This study finds that these</w:t>
      </w:r>
      <w:r w:rsidRPr="00F729B8">
        <w:t xml:space="preserve"> new requirements are effective on 31</w:t>
      </w:r>
      <w:r w:rsidRPr="00F729B8">
        <w:rPr>
          <w:vertAlign w:val="superscript"/>
        </w:rPr>
        <w:t>st</w:t>
      </w:r>
      <w:r w:rsidR="00C876E1">
        <w:t xml:space="preserve"> January 2016 to realign with IFSA 2013 as described in Table 2. </w:t>
      </w:r>
    </w:p>
    <w:p w14:paraId="57832496" w14:textId="77777777" w:rsidR="009A0A8A" w:rsidRDefault="009A0A8A" w:rsidP="009A0A8A">
      <w:pPr>
        <w:ind w:firstLine="0"/>
        <w:jc w:val="center"/>
        <w:rPr>
          <w:b/>
        </w:rPr>
      </w:pPr>
    </w:p>
    <w:p w14:paraId="3BDE3AD0" w14:textId="78020C73" w:rsidR="009A0A8A" w:rsidRPr="00102F42" w:rsidRDefault="009A0A8A" w:rsidP="009A0A8A">
      <w:pPr>
        <w:ind w:firstLine="0"/>
        <w:jc w:val="center"/>
      </w:pPr>
      <w:r w:rsidRPr="00DB0DEB">
        <w:rPr>
          <w:b/>
        </w:rPr>
        <w:t xml:space="preserve">Table 2. </w:t>
      </w:r>
      <w:r>
        <w:rPr>
          <w:bCs/>
        </w:rPr>
        <w:t xml:space="preserve">Realignment of </w:t>
      </w:r>
      <w:r>
        <w:t>the new Part IIIA</w:t>
      </w:r>
      <w:r w:rsidRPr="00DB0DEB">
        <w:t xml:space="preserve"> DFIA 2002</w:t>
      </w:r>
      <w:r>
        <w:t xml:space="preserve"> with Part IV IFSA 2013. Source: Authors based on DFIA 2002 and IFSA 2013</w:t>
      </w:r>
    </w:p>
    <w:p w14:paraId="6A045E4F" w14:textId="77777777" w:rsidR="009A0A8A" w:rsidRDefault="009A0A8A" w:rsidP="00F729B8"/>
    <w:tbl>
      <w:tblPr>
        <w:tblStyle w:val="TableGrid"/>
        <w:tblW w:w="0" w:type="auto"/>
        <w:tblLook w:val="04A0" w:firstRow="1" w:lastRow="0" w:firstColumn="1" w:lastColumn="0" w:noHBand="0" w:noVBand="1"/>
      </w:tblPr>
      <w:tblGrid>
        <w:gridCol w:w="988"/>
        <w:gridCol w:w="992"/>
        <w:gridCol w:w="4928"/>
      </w:tblGrid>
      <w:tr w:rsidR="009A0A8A" w:rsidRPr="00FA3BCF" w14:paraId="54FEE97D" w14:textId="77777777" w:rsidTr="005E2DCE">
        <w:tc>
          <w:tcPr>
            <w:tcW w:w="988" w:type="dxa"/>
          </w:tcPr>
          <w:p w14:paraId="303F0EC0" w14:textId="77777777" w:rsidR="009A0A8A" w:rsidRPr="00FA3BCF" w:rsidRDefault="009A0A8A" w:rsidP="005E2DCE">
            <w:pPr>
              <w:ind w:firstLine="0"/>
              <w:jc w:val="center"/>
              <w:rPr>
                <w:rFonts w:ascii="Times New Roman" w:hAnsi="Times New Roman" w:cs="Times New Roman"/>
                <w:sz w:val="18"/>
                <w:szCs w:val="18"/>
              </w:rPr>
            </w:pPr>
            <w:r w:rsidRPr="00FA3BCF">
              <w:rPr>
                <w:rFonts w:ascii="Times New Roman" w:hAnsi="Times New Roman" w:cs="Times New Roman"/>
                <w:sz w:val="18"/>
                <w:szCs w:val="18"/>
              </w:rPr>
              <w:t>IFSA 2013</w:t>
            </w:r>
          </w:p>
          <w:p w14:paraId="7E259FC8" w14:textId="4EE09D23" w:rsidR="009A0A8A" w:rsidRPr="00FA3BCF" w:rsidRDefault="009A0A8A" w:rsidP="005E2DCE">
            <w:pPr>
              <w:ind w:firstLine="0"/>
              <w:jc w:val="center"/>
              <w:rPr>
                <w:rFonts w:ascii="Times New Roman" w:hAnsi="Times New Roman" w:cs="Times New Roman"/>
                <w:sz w:val="18"/>
                <w:szCs w:val="18"/>
              </w:rPr>
            </w:pPr>
            <w:r w:rsidRPr="00FA3BCF">
              <w:rPr>
                <w:rFonts w:ascii="Times New Roman" w:hAnsi="Times New Roman" w:cs="Times New Roman"/>
                <w:sz w:val="18"/>
                <w:szCs w:val="18"/>
              </w:rPr>
              <w:t>Part IV</w:t>
            </w:r>
          </w:p>
        </w:tc>
        <w:tc>
          <w:tcPr>
            <w:tcW w:w="992" w:type="dxa"/>
          </w:tcPr>
          <w:p w14:paraId="046FB92A" w14:textId="77777777" w:rsidR="009A0A8A" w:rsidRPr="00FA3BCF" w:rsidRDefault="009A0A8A" w:rsidP="009A0A8A">
            <w:pPr>
              <w:ind w:firstLine="0"/>
              <w:jc w:val="center"/>
              <w:rPr>
                <w:rFonts w:ascii="Times New Roman" w:hAnsi="Times New Roman" w:cs="Times New Roman"/>
                <w:sz w:val="18"/>
                <w:szCs w:val="18"/>
              </w:rPr>
            </w:pPr>
            <w:r w:rsidRPr="00FA3BCF">
              <w:rPr>
                <w:rFonts w:ascii="Times New Roman" w:hAnsi="Times New Roman" w:cs="Times New Roman"/>
                <w:sz w:val="18"/>
                <w:szCs w:val="18"/>
              </w:rPr>
              <w:t>DFIA 2002</w:t>
            </w:r>
          </w:p>
          <w:p w14:paraId="4D1F3D53" w14:textId="77777777" w:rsidR="009A0A8A" w:rsidRPr="00FA3BCF" w:rsidRDefault="009A0A8A" w:rsidP="009A0A8A">
            <w:pPr>
              <w:ind w:firstLine="0"/>
              <w:jc w:val="center"/>
              <w:rPr>
                <w:rFonts w:ascii="Times New Roman" w:hAnsi="Times New Roman" w:cs="Times New Roman"/>
                <w:sz w:val="18"/>
                <w:szCs w:val="18"/>
              </w:rPr>
            </w:pPr>
            <w:r w:rsidRPr="00FA3BCF">
              <w:rPr>
                <w:rFonts w:ascii="Times New Roman" w:hAnsi="Times New Roman" w:cs="Times New Roman"/>
                <w:sz w:val="18"/>
                <w:szCs w:val="18"/>
              </w:rPr>
              <w:t>Part IIIA</w:t>
            </w:r>
          </w:p>
        </w:tc>
        <w:tc>
          <w:tcPr>
            <w:tcW w:w="4928" w:type="dxa"/>
          </w:tcPr>
          <w:p w14:paraId="4280746A" w14:textId="1683F475" w:rsidR="009A0A8A" w:rsidRPr="00FA3BCF" w:rsidRDefault="009A0A8A" w:rsidP="009A0A8A">
            <w:pPr>
              <w:ind w:firstLine="0"/>
              <w:rPr>
                <w:rFonts w:ascii="Times New Roman" w:hAnsi="Times New Roman" w:cs="Times New Roman"/>
                <w:sz w:val="18"/>
                <w:szCs w:val="18"/>
              </w:rPr>
            </w:pPr>
            <w:r w:rsidRPr="00FA3BCF">
              <w:rPr>
                <w:rFonts w:ascii="Times New Roman" w:hAnsi="Times New Roman" w:cs="Times New Roman"/>
                <w:sz w:val="18"/>
                <w:szCs w:val="18"/>
              </w:rPr>
              <w:t xml:space="preserve">Provisions on </w:t>
            </w:r>
            <w:r w:rsidR="00FA3BCF" w:rsidRPr="00FA3BCF">
              <w:rPr>
                <w:rFonts w:ascii="Times New Roman" w:hAnsi="Times New Roman" w:cs="Times New Roman"/>
                <w:sz w:val="18"/>
                <w:szCs w:val="18"/>
              </w:rPr>
              <w:t xml:space="preserve">new </w:t>
            </w:r>
            <w:r w:rsidRPr="00FA3BCF">
              <w:rPr>
                <w:rFonts w:ascii="Times New Roman" w:hAnsi="Times New Roman" w:cs="Times New Roman"/>
                <w:sz w:val="18"/>
                <w:szCs w:val="18"/>
              </w:rPr>
              <w:t>Shariah Requirements</w:t>
            </w:r>
            <w:r w:rsidR="00FA3BCF" w:rsidRPr="00FA3BCF">
              <w:rPr>
                <w:rFonts w:ascii="Times New Roman" w:hAnsi="Times New Roman" w:cs="Times New Roman"/>
                <w:sz w:val="18"/>
                <w:szCs w:val="18"/>
              </w:rPr>
              <w:t xml:space="preserve"> under Part IIIA DFIA 2002 to realign with Part IV IFSA 2013</w:t>
            </w:r>
          </w:p>
        </w:tc>
      </w:tr>
      <w:tr w:rsidR="009A0A8A" w:rsidRPr="00FA3BCF" w14:paraId="48F3E960" w14:textId="77777777" w:rsidTr="005E2DCE">
        <w:tc>
          <w:tcPr>
            <w:tcW w:w="988" w:type="dxa"/>
          </w:tcPr>
          <w:p w14:paraId="5250383A" w14:textId="3D70D017" w:rsidR="009A0A8A" w:rsidRPr="00FA3BCF" w:rsidRDefault="009A0A8A" w:rsidP="005E2DCE">
            <w:pPr>
              <w:jc w:val="center"/>
              <w:rPr>
                <w:rFonts w:ascii="Times New Roman" w:hAnsi="Times New Roman" w:cs="Times New Roman"/>
                <w:sz w:val="18"/>
                <w:szCs w:val="18"/>
              </w:rPr>
            </w:pPr>
            <w:r w:rsidRPr="00FA3BCF">
              <w:rPr>
                <w:rFonts w:ascii="Times New Roman" w:hAnsi="Times New Roman" w:cs="Times New Roman"/>
                <w:sz w:val="18"/>
                <w:szCs w:val="18"/>
              </w:rPr>
              <w:t>Sec 27</w:t>
            </w:r>
          </w:p>
        </w:tc>
        <w:tc>
          <w:tcPr>
            <w:tcW w:w="992" w:type="dxa"/>
          </w:tcPr>
          <w:p w14:paraId="6A89DE69" w14:textId="715E1D97"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33A</w:t>
            </w:r>
          </w:p>
        </w:tc>
        <w:tc>
          <w:tcPr>
            <w:tcW w:w="4928" w:type="dxa"/>
          </w:tcPr>
          <w:p w14:paraId="46265E13"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Interpretation and application</w:t>
            </w:r>
          </w:p>
        </w:tc>
      </w:tr>
      <w:tr w:rsidR="009A0A8A" w:rsidRPr="00FA3BCF" w14:paraId="51D777BB" w14:textId="77777777" w:rsidTr="005E2DCE">
        <w:tc>
          <w:tcPr>
            <w:tcW w:w="988" w:type="dxa"/>
          </w:tcPr>
          <w:p w14:paraId="504CE5FC" w14:textId="266296B7" w:rsidR="009A0A8A" w:rsidRPr="00FA3BCF" w:rsidRDefault="009A0A8A" w:rsidP="005E2DCE">
            <w:pPr>
              <w:ind w:firstLine="0"/>
              <w:jc w:val="center"/>
              <w:rPr>
                <w:rFonts w:ascii="Times New Roman" w:hAnsi="Times New Roman" w:cs="Times New Roman"/>
                <w:sz w:val="18"/>
                <w:szCs w:val="18"/>
              </w:rPr>
            </w:pPr>
            <w:r w:rsidRPr="00FA3BCF">
              <w:rPr>
                <w:rFonts w:ascii="Times New Roman" w:hAnsi="Times New Roman" w:cs="Times New Roman"/>
                <w:sz w:val="18"/>
                <w:szCs w:val="18"/>
              </w:rPr>
              <w:t>-</w:t>
            </w:r>
          </w:p>
        </w:tc>
        <w:tc>
          <w:tcPr>
            <w:tcW w:w="992" w:type="dxa"/>
          </w:tcPr>
          <w:p w14:paraId="311FD3C8" w14:textId="626DD09C"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33B</w:t>
            </w:r>
          </w:p>
        </w:tc>
        <w:tc>
          <w:tcPr>
            <w:tcW w:w="4928" w:type="dxa"/>
          </w:tcPr>
          <w:p w14:paraId="2D0C7454"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DFIs are permitted to carry on business or activity in accordance with Shariah</w:t>
            </w:r>
          </w:p>
        </w:tc>
      </w:tr>
      <w:tr w:rsidR="009A0A8A" w:rsidRPr="00FA3BCF" w14:paraId="0AE3AB0A" w14:textId="77777777" w:rsidTr="005E2DCE">
        <w:tc>
          <w:tcPr>
            <w:tcW w:w="988" w:type="dxa"/>
          </w:tcPr>
          <w:p w14:paraId="52192A22" w14:textId="356E7828" w:rsidR="009A0A8A" w:rsidRPr="00FA3BCF" w:rsidRDefault="009A0A8A" w:rsidP="005E2DCE">
            <w:pPr>
              <w:ind w:firstLine="0"/>
              <w:jc w:val="center"/>
              <w:rPr>
                <w:rFonts w:ascii="Times New Roman" w:hAnsi="Times New Roman" w:cs="Times New Roman"/>
                <w:sz w:val="18"/>
                <w:szCs w:val="18"/>
              </w:rPr>
            </w:pPr>
            <w:r w:rsidRPr="00FA3BCF">
              <w:rPr>
                <w:rFonts w:ascii="Times New Roman" w:hAnsi="Times New Roman" w:cs="Times New Roman"/>
                <w:sz w:val="18"/>
                <w:szCs w:val="18"/>
              </w:rPr>
              <w:t>-</w:t>
            </w:r>
          </w:p>
        </w:tc>
        <w:tc>
          <w:tcPr>
            <w:tcW w:w="992" w:type="dxa"/>
          </w:tcPr>
          <w:p w14:paraId="2A723517" w14:textId="62CD73D6"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33C</w:t>
            </w:r>
          </w:p>
        </w:tc>
        <w:tc>
          <w:tcPr>
            <w:tcW w:w="4928" w:type="dxa"/>
          </w:tcPr>
          <w:p w14:paraId="7A6B8BEB" w14:textId="3587E48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Requi</w:t>
            </w:r>
            <w:r w:rsidR="00FA3BCF" w:rsidRPr="00FA3BCF">
              <w:rPr>
                <w:rFonts w:ascii="Times New Roman" w:hAnsi="Times New Roman" w:cs="Times New Roman"/>
                <w:sz w:val="18"/>
                <w:szCs w:val="18"/>
              </w:rPr>
              <w:t>rement on DFIs</w:t>
            </w:r>
            <w:r w:rsidRPr="00FA3BCF">
              <w:rPr>
                <w:rFonts w:ascii="Times New Roman" w:hAnsi="Times New Roman" w:cs="Times New Roman"/>
                <w:sz w:val="18"/>
                <w:szCs w:val="18"/>
              </w:rPr>
              <w:t xml:space="preserve"> approved under paragraph 33B(1)(b)</w:t>
            </w:r>
          </w:p>
        </w:tc>
      </w:tr>
      <w:tr w:rsidR="009A0A8A" w:rsidRPr="00FA3BCF" w14:paraId="0D1C4317" w14:textId="77777777" w:rsidTr="005E2DCE">
        <w:tc>
          <w:tcPr>
            <w:tcW w:w="988" w:type="dxa"/>
          </w:tcPr>
          <w:p w14:paraId="5B254B10" w14:textId="102F3593" w:rsidR="009A0A8A" w:rsidRPr="00FA3BCF" w:rsidRDefault="009A0A8A" w:rsidP="005E2DCE">
            <w:pPr>
              <w:jc w:val="center"/>
              <w:rPr>
                <w:rFonts w:ascii="Times New Roman" w:hAnsi="Times New Roman" w:cs="Times New Roman"/>
                <w:sz w:val="18"/>
                <w:szCs w:val="18"/>
              </w:rPr>
            </w:pPr>
            <w:r w:rsidRPr="00FA3BCF">
              <w:rPr>
                <w:rFonts w:ascii="Times New Roman" w:hAnsi="Times New Roman" w:cs="Times New Roman"/>
                <w:sz w:val="18"/>
                <w:szCs w:val="18"/>
              </w:rPr>
              <w:t>Sec 28</w:t>
            </w:r>
          </w:p>
        </w:tc>
        <w:tc>
          <w:tcPr>
            <w:tcW w:w="992" w:type="dxa"/>
          </w:tcPr>
          <w:p w14:paraId="40BD9A00" w14:textId="382FFA64"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33D</w:t>
            </w:r>
          </w:p>
        </w:tc>
        <w:tc>
          <w:tcPr>
            <w:tcW w:w="4928" w:type="dxa"/>
          </w:tcPr>
          <w:p w14:paraId="44C9CF23"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Duty to ensure compliance with Shariah</w:t>
            </w:r>
          </w:p>
        </w:tc>
      </w:tr>
      <w:tr w:rsidR="009A0A8A" w:rsidRPr="00FA3BCF" w14:paraId="52950F01" w14:textId="77777777" w:rsidTr="005E2DCE">
        <w:tc>
          <w:tcPr>
            <w:tcW w:w="988" w:type="dxa"/>
          </w:tcPr>
          <w:p w14:paraId="104686E0" w14:textId="3AB3403A" w:rsidR="009A0A8A" w:rsidRPr="00FA3BCF" w:rsidRDefault="009A0A8A" w:rsidP="005E2DCE">
            <w:pPr>
              <w:jc w:val="center"/>
              <w:rPr>
                <w:rFonts w:ascii="Times New Roman" w:hAnsi="Times New Roman" w:cs="Times New Roman"/>
                <w:sz w:val="18"/>
                <w:szCs w:val="18"/>
              </w:rPr>
            </w:pPr>
            <w:r w:rsidRPr="00FA3BCF">
              <w:rPr>
                <w:rFonts w:ascii="Times New Roman" w:hAnsi="Times New Roman" w:cs="Times New Roman"/>
                <w:sz w:val="18"/>
                <w:szCs w:val="18"/>
              </w:rPr>
              <w:t>Sec 29</w:t>
            </w:r>
          </w:p>
        </w:tc>
        <w:tc>
          <w:tcPr>
            <w:tcW w:w="992" w:type="dxa"/>
          </w:tcPr>
          <w:p w14:paraId="7CB0F7B8" w14:textId="23096420"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33E</w:t>
            </w:r>
          </w:p>
        </w:tc>
        <w:tc>
          <w:tcPr>
            <w:tcW w:w="4928" w:type="dxa"/>
          </w:tcPr>
          <w:p w14:paraId="2C1C3E76"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Power of the Bank to specify standards on Shariah matters</w:t>
            </w:r>
          </w:p>
        </w:tc>
      </w:tr>
      <w:tr w:rsidR="009A0A8A" w:rsidRPr="00FA3BCF" w14:paraId="489380F1" w14:textId="77777777" w:rsidTr="005E2DCE">
        <w:tc>
          <w:tcPr>
            <w:tcW w:w="988" w:type="dxa"/>
          </w:tcPr>
          <w:p w14:paraId="3B6D86E9" w14:textId="50EC64C8" w:rsidR="009A0A8A" w:rsidRPr="00FA3BCF" w:rsidRDefault="009A0A8A" w:rsidP="005E2DCE">
            <w:pPr>
              <w:jc w:val="center"/>
              <w:rPr>
                <w:rFonts w:ascii="Times New Roman" w:hAnsi="Times New Roman" w:cs="Times New Roman"/>
                <w:sz w:val="18"/>
                <w:szCs w:val="18"/>
              </w:rPr>
            </w:pPr>
            <w:r w:rsidRPr="00FA3BCF">
              <w:rPr>
                <w:rFonts w:ascii="Times New Roman" w:hAnsi="Times New Roman" w:cs="Times New Roman"/>
                <w:sz w:val="18"/>
                <w:szCs w:val="18"/>
              </w:rPr>
              <w:t>Sec 30</w:t>
            </w:r>
          </w:p>
        </w:tc>
        <w:tc>
          <w:tcPr>
            <w:tcW w:w="992" w:type="dxa"/>
          </w:tcPr>
          <w:p w14:paraId="73DD618C" w14:textId="19FFF583"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33F</w:t>
            </w:r>
          </w:p>
        </w:tc>
        <w:tc>
          <w:tcPr>
            <w:tcW w:w="4928" w:type="dxa"/>
          </w:tcPr>
          <w:p w14:paraId="0EF42DF3"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Establishment of Shariah Committee</w:t>
            </w:r>
          </w:p>
        </w:tc>
      </w:tr>
      <w:tr w:rsidR="009A0A8A" w:rsidRPr="00FA3BCF" w14:paraId="0B925373" w14:textId="77777777" w:rsidTr="005E2DCE">
        <w:tc>
          <w:tcPr>
            <w:tcW w:w="988" w:type="dxa"/>
          </w:tcPr>
          <w:p w14:paraId="5DC68A32" w14:textId="02599004" w:rsidR="009A0A8A" w:rsidRPr="00FA3BCF" w:rsidRDefault="009A0A8A" w:rsidP="005E2DCE">
            <w:pPr>
              <w:jc w:val="center"/>
              <w:rPr>
                <w:rFonts w:ascii="Times New Roman" w:hAnsi="Times New Roman" w:cs="Times New Roman"/>
                <w:sz w:val="18"/>
                <w:szCs w:val="18"/>
              </w:rPr>
            </w:pPr>
            <w:r w:rsidRPr="00FA3BCF">
              <w:rPr>
                <w:rFonts w:ascii="Times New Roman" w:hAnsi="Times New Roman" w:cs="Times New Roman"/>
                <w:sz w:val="18"/>
                <w:szCs w:val="18"/>
              </w:rPr>
              <w:t>Sec 31</w:t>
            </w:r>
          </w:p>
        </w:tc>
        <w:tc>
          <w:tcPr>
            <w:tcW w:w="992" w:type="dxa"/>
          </w:tcPr>
          <w:p w14:paraId="24B0888B" w14:textId="70C00AC6"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33G</w:t>
            </w:r>
          </w:p>
        </w:tc>
        <w:tc>
          <w:tcPr>
            <w:tcW w:w="4928" w:type="dxa"/>
          </w:tcPr>
          <w:p w14:paraId="2372F0F3"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Appointment of Shariah Committee member</w:t>
            </w:r>
          </w:p>
        </w:tc>
      </w:tr>
      <w:tr w:rsidR="009A0A8A" w:rsidRPr="00FA3BCF" w14:paraId="186E6050" w14:textId="77777777" w:rsidTr="005E2DCE">
        <w:tc>
          <w:tcPr>
            <w:tcW w:w="988" w:type="dxa"/>
          </w:tcPr>
          <w:p w14:paraId="07982CF6" w14:textId="5136D964" w:rsidR="009A0A8A" w:rsidRPr="00FA3BCF" w:rsidRDefault="009A0A8A" w:rsidP="005E2DCE">
            <w:pPr>
              <w:jc w:val="center"/>
              <w:rPr>
                <w:rFonts w:ascii="Times New Roman" w:hAnsi="Times New Roman" w:cs="Times New Roman"/>
                <w:sz w:val="18"/>
                <w:szCs w:val="18"/>
              </w:rPr>
            </w:pPr>
            <w:r w:rsidRPr="00FA3BCF">
              <w:rPr>
                <w:rFonts w:ascii="Times New Roman" w:hAnsi="Times New Roman" w:cs="Times New Roman"/>
                <w:sz w:val="18"/>
                <w:szCs w:val="18"/>
              </w:rPr>
              <w:t>Sec 32</w:t>
            </w:r>
          </w:p>
        </w:tc>
        <w:tc>
          <w:tcPr>
            <w:tcW w:w="992" w:type="dxa"/>
          </w:tcPr>
          <w:p w14:paraId="74018619" w14:textId="122A8CC6"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33H</w:t>
            </w:r>
          </w:p>
        </w:tc>
        <w:tc>
          <w:tcPr>
            <w:tcW w:w="4928" w:type="dxa"/>
          </w:tcPr>
          <w:p w14:paraId="798257C7"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Functions and duties of Shariah Committee and its members</w:t>
            </w:r>
          </w:p>
        </w:tc>
      </w:tr>
      <w:tr w:rsidR="009A0A8A" w:rsidRPr="00FA3BCF" w14:paraId="4CA20BA4" w14:textId="77777777" w:rsidTr="005E2DCE">
        <w:tc>
          <w:tcPr>
            <w:tcW w:w="988" w:type="dxa"/>
          </w:tcPr>
          <w:p w14:paraId="5D7189A5" w14:textId="799F1380" w:rsidR="009A0A8A" w:rsidRPr="00FA3BCF" w:rsidRDefault="009A0A8A" w:rsidP="005E2DCE">
            <w:pPr>
              <w:jc w:val="center"/>
              <w:rPr>
                <w:rFonts w:ascii="Times New Roman" w:hAnsi="Times New Roman" w:cs="Times New Roman"/>
                <w:sz w:val="18"/>
                <w:szCs w:val="18"/>
              </w:rPr>
            </w:pPr>
            <w:r w:rsidRPr="00FA3BCF">
              <w:rPr>
                <w:rFonts w:ascii="Times New Roman" w:hAnsi="Times New Roman" w:cs="Times New Roman"/>
                <w:sz w:val="18"/>
                <w:szCs w:val="18"/>
              </w:rPr>
              <w:t>Sec 33</w:t>
            </w:r>
          </w:p>
        </w:tc>
        <w:tc>
          <w:tcPr>
            <w:tcW w:w="992" w:type="dxa"/>
          </w:tcPr>
          <w:p w14:paraId="67BA5BB3" w14:textId="68610848"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33I</w:t>
            </w:r>
          </w:p>
        </w:tc>
        <w:tc>
          <w:tcPr>
            <w:tcW w:w="4928" w:type="dxa"/>
          </w:tcPr>
          <w:p w14:paraId="735CDD48"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Cessation as member of Shariah Committee</w:t>
            </w:r>
          </w:p>
        </w:tc>
      </w:tr>
      <w:tr w:rsidR="009A0A8A" w:rsidRPr="00FA3BCF" w14:paraId="753F398A" w14:textId="77777777" w:rsidTr="005E2DCE">
        <w:tc>
          <w:tcPr>
            <w:tcW w:w="988" w:type="dxa"/>
          </w:tcPr>
          <w:p w14:paraId="7FA56F69" w14:textId="552F9374" w:rsidR="009A0A8A" w:rsidRPr="00FA3BCF" w:rsidRDefault="009A0A8A" w:rsidP="005E2DCE">
            <w:pPr>
              <w:jc w:val="center"/>
              <w:rPr>
                <w:rFonts w:ascii="Times New Roman" w:hAnsi="Times New Roman" w:cs="Times New Roman"/>
                <w:sz w:val="18"/>
                <w:szCs w:val="18"/>
              </w:rPr>
            </w:pPr>
            <w:r w:rsidRPr="00FA3BCF">
              <w:rPr>
                <w:rFonts w:ascii="Times New Roman" w:hAnsi="Times New Roman" w:cs="Times New Roman"/>
                <w:sz w:val="18"/>
                <w:szCs w:val="18"/>
              </w:rPr>
              <w:t>Sec 34</w:t>
            </w:r>
          </w:p>
        </w:tc>
        <w:tc>
          <w:tcPr>
            <w:tcW w:w="992" w:type="dxa"/>
          </w:tcPr>
          <w:p w14:paraId="08B01160" w14:textId="07BE7D06"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33J</w:t>
            </w:r>
          </w:p>
        </w:tc>
        <w:tc>
          <w:tcPr>
            <w:tcW w:w="4928" w:type="dxa"/>
          </w:tcPr>
          <w:p w14:paraId="659737A9"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Notice of cessation as member of Shariah Committee</w:t>
            </w:r>
          </w:p>
        </w:tc>
      </w:tr>
      <w:tr w:rsidR="009A0A8A" w:rsidRPr="00FA3BCF" w14:paraId="70FD0BCF" w14:textId="77777777" w:rsidTr="005E2DCE">
        <w:tc>
          <w:tcPr>
            <w:tcW w:w="988" w:type="dxa"/>
          </w:tcPr>
          <w:p w14:paraId="158F5999" w14:textId="416A02AE" w:rsidR="009A0A8A" w:rsidRPr="00FA3BCF" w:rsidRDefault="009A0A8A" w:rsidP="005E2DCE">
            <w:pPr>
              <w:jc w:val="center"/>
              <w:rPr>
                <w:rFonts w:ascii="Times New Roman" w:hAnsi="Times New Roman" w:cs="Times New Roman"/>
                <w:sz w:val="18"/>
                <w:szCs w:val="18"/>
              </w:rPr>
            </w:pPr>
            <w:r w:rsidRPr="00FA3BCF">
              <w:rPr>
                <w:rFonts w:ascii="Times New Roman" w:hAnsi="Times New Roman" w:cs="Times New Roman"/>
                <w:sz w:val="18"/>
                <w:szCs w:val="18"/>
              </w:rPr>
              <w:t>Sec 35</w:t>
            </w:r>
          </w:p>
        </w:tc>
        <w:tc>
          <w:tcPr>
            <w:tcW w:w="992" w:type="dxa"/>
          </w:tcPr>
          <w:p w14:paraId="376CFCCD" w14:textId="6CDC81C1"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33K</w:t>
            </w:r>
          </w:p>
        </w:tc>
        <w:tc>
          <w:tcPr>
            <w:tcW w:w="4928" w:type="dxa"/>
          </w:tcPr>
          <w:p w14:paraId="6B2B237B"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Information to be provided to Shariah Committee</w:t>
            </w:r>
          </w:p>
        </w:tc>
      </w:tr>
      <w:tr w:rsidR="009A0A8A" w:rsidRPr="00FA3BCF" w14:paraId="1E0C87B5" w14:textId="77777777" w:rsidTr="005E2DCE">
        <w:tc>
          <w:tcPr>
            <w:tcW w:w="988" w:type="dxa"/>
          </w:tcPr>
          <w:p w14:paraId="36BAF438" w14:textId="5C197AC6" w:rsidR="009A0A8A" w:rsidRPr="00FA3BCF" w:rsidRDefault="009A0A8A" w:rsidP="005E2DCE">
            <w:pPr>
              <w:jc w:val="center"/>
              <w:rPr>
                <w:rFonts w:ascii="Times New Roman" w:hAnsi="Times New Roman" w:cs="Times New Roman"/>
                <w:sz w:val="18"/>
                <w:szCs w:val="18"/>
              </w:rPr>
            </w:pPr>
            <w:r w:rsidRPr="00FA3BCF">
              <w:rPr>
                <w:rFonts w:ascii="Times New Roman" w:hAnsi="Times New Roman" w:cs="Times New Roman"/>
                <w:sz w:val="18"/>
                <w:szCs w:val="18"/>
              </w:rPr>
              <w:t>Sec 36</w:t>
            </w:r>
          </w:p>
        </w:tc>
        <w:tc>
          <w:tcPr>
            <w:tcW w:w="992" w:type="dxa"/>
          </w:tcPr>
          <w:p w14:paraId="3D37D11A" w14:textId="32E59AC4"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33L</w:t>
            </w:r>
          </w:p>
        </w:tc>
        <w:tc>
          <w:tcPr>
            <w:tcW w:w="4928" w:type="dxa"/>
          </w:tcPr>
          <w:p w14:paraId="215D943C"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Qualified privilege and duty of confidentiality</w:t>
            </w:r>
          </w:p>
        </w:tc>
      </w:tr>
      <w:tr w:rsidR="009A0A8A" w:rsidRPr="00FA3BCF" w14:paraId="65FE2BC4" w14:textId="77777777" w:rsidTr="005E2DCE">
        <w:tc>
          <w:tcPr>
            <w:tcW w:w="988" w:type="dxa"/>
          </w:tcPr>
          <w:p w14:paraId="61BEF049" w14:textId="51EDE2D7" w:rsidR="009A0A8A" w:rsidRPr="00FA3BCF" w:rsidRDefault="009A0A8A" w:rsidP="005E2DCE">
            <w:pPr>
              <w:jc w:val="center"/>
              <w:rPr>
                <w:rFonts w:ascii="Times New Roman" w:hAnsi="Times New Roman" w:cs="Times New Roman"/>
                <w:sz w:val="18"/>
                <w:szCs w:val="18"/>
              </w:rPr>
            </w:pPr>
            <w:r w:rsidRPr="00FA3BCF">
              <w:rPr>
                <w:rFonts w:ascii="Times New Roman" w:hAnsi="Times New Roman" w:cs="Times New Roman"/>
                <w:sz w:val="18"/>
                <w:szCs w:val="18"/>
              </w:rPr>
              <w:t>Sec 37</w:t>
            </w:r>
          </w:p>
        </w:tc>
        <w:tc>
          <w:tcPr>
            <w:tcW w:w="992" w:type="dxa"/>
          </w:tcPr>
          <w:p w14:paraId="75150FEF" w14:textId="1874E8FA"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33M</w:t>
            </w:r>
          </w:p>
        </w:tc>
        <w:tc>
          <w:tcPr>
            <w:tcW w:w="4928" w:type="dxa"/>
          </w:tcPr>
          <w:p w14:paraId="441147D9"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Appointment of person by prescribed institution to conduct audit on Shariah Compliance</w:t>
            </w:r>
          </w:p>
        </w:tc>
      </w:tr>
      <w:tr w:rsidR="009A0A8A" w:rsidRPr="00FA3BCF" w14:paraId="0CB01674" w14:textId="77777777" w:rsidTr="005E2DCE">
        <w:tc>
          <w:tcPr>
            <w:tcW w:w="988" w:type="dxa"/>
          </w:tcPr>
          <w:p w14:paraId="62E1F989" w14:textId="3C2CBACB" w:rsidR="009A0A8A" w:rsidRPr="00FA3BCF" w:rsidRDefault="009A0A8A" w:rsidP="005E2DCE">
            <w:pPr>
              <w:jc w:val="center"/>
              <w:rPr>
                <w:rFonts w:ascii="Times New Roman" w:hAnsi="Times New Roman" w:cs="Times New Roman"/>
                <w:sz w:val="18"/>
                <w:szCs w:val="18"/>
              </w:rPr>
            </w:pPr>
            <w:r w:rsidRPr="00FA3BCF">
              <w:rPr>
                <w:rFonts w:ascii="Times New Roman" w:hAnsi="Times New Roman" w:cs="Times New Roman"/>
                <w:sz w:val="18"/>
                <w:szCs w:val="18"/>
              </w:rPr>
              <w:t>Sec 38</w:t>
            </w:r>
          </w:p>
        </w:tc>
        <w:tc>
          <w:tcPr>
            <w:tcW w:w="992" w:type="dxa"/>
          </w:tcPr>
          <w:p w14:paraId="122ED5DD" w14:textId="0E14CBF1" w:rsidR="009A0A8A" w:rsidRPr="00FA3BCF" w:rsidRDefault="009A0A8A" w:rsidP="009A0A8A">
            <w:pPr>
              <w:ind w:firstLine="0"/>
              <w:jc w:val="left"/>
              <w:rPr>
                <w:rFonts w:ascii="Times New Roman" w:hAnsi="Times New Roman" w:cs="Times New Roman"/>
                <w:sz w:val="18"/>
                <w:szCs w:val="18"/>
              </w:rPr>
            </w:pPr>
            <w:r w:rsidRPr="00FA3BCF">
              <w:rPr>
                <w:rFonts w:ascii="Times New Roman" w:hAnsi="Times New Roman" w:cs="Times New Roman"/>
                <w:sz w:val="18"/>
                <w:szCs w:val="18"/>
              </w:rPr>
              <w:t>Sec 33N</w:t>
            </w:r>
          </w:p>
        </w:tc>
        <w:tc>
          <w:tcPr>
            <w:tcW w:w="4928" w:type="dxa"/>
          </w:tcPr>
          <w:p w14:paraId="29CF31A3" w14:textId="77777777" w:rsidR="009A0A8A" w:rsidRPr="00FA3BCF" w:rsidRDefault="009A0A8A" w:rsidP="009A0A8A">
            <w:pPr>
              <w:ind w:firstLine="7"/>
              <w:rPr>
                <w:rFonts w:ascii="Times New Roman" w:hAnsi="Times New Roman" w:cs="Times New Roman"/>
                <w:sz w:val="18"/>
                <w:szCs w:val="18"/>
              </w:rPr>
            </w:pPr>
            <w:r w:rsidRPr="00FA3BCF">
              <w:rPr>
                <w:rFonts w:ascii="Times New Roman" w:hAnsi="Times New Roman" w:cs="Times New Roman"/>
                <w:sz w:val="18"/>
                <w:szCs w:val="18"/>
              </w:rPr>
              <w:t>Appointment of person by Bank to conduct audit on Shariah Compliance</w:t>
            </w:r>
          </w:p>
        </w:tc>
      </w:tr>
    </w:tbl>
    <w:p w14:paraId="6201D0A9" w14:textId="77777777" w:rsidR="009A0A8A" w:rsidRDefault="009A0A8A" w:rsidP="00F729B8"/>
    <w:p w14:paraId="2FE7DD01" w14:textId="4A2E63B7" w:rsidR="004C4B93" w:rsidRDefault="00DB0DEB" w:rsidP="004C4B93">
      <w:pPr>
        <w:ind w:firstLine="0"/>
      </w:pPr>
      <w:r>
        <w:tab/>
        <w:t>The comparative provision between Section 129 DFIA 2002 (before its amendments) and Section 33B (after amendments in 2015) are described in the following Table:</w:t>
      </w:r>
    </w:p>
    <w:p w14:paraId="4EC0287A" w14:textId="77777777" w:rsidR="00DB0DEB" w:rsidRDefault="00DB0DEB" w:rsidP="004C4B93">
      <w:pPr>
        <w:ind w:firstLine="0"/>
      </w:pPr>
    </w:p>
    <w:p w14:paraId="3D6CAEDC" w14:textId="58614C4C" w:rsidR="00D54191" w:rsidRPr="00102F42" w:rsidRDefault="009A0A8A" w:rsidP="00102F42">
      <w:pPr>
        <w:ind w:firstLine="0"/>
        <w:jc w:val="center"/>
      </w:pPr>
      <w:r>
        <w:rPr>
          <w:b/>
        </w:rPr>
        <w:t>Table 3</w:t>
      </w:r>
      <w:r w:rsidR="00DB0DEB" w:rsidRPr="00DB0DEB">
        <w:rPr>
          <w:b/>
        </w:rPr>
        <w:t xml:space="preserve">. </w:t>
      </w:r>
      <w:r w:rsidR="009A30DE">
        <w:rPr>
          <w:bCs/>
        </w:rPr>
        <w:t xml:space="preserve">Comparison between </w:t>
      </w:r>
      <w:r w:rsidR="00D00FEB">
        <w:t xml:space="preserve">the new </w:t>
      </w:r>
      <w:r w:rsidR="00DB0DEB" w:rsidRPr="00DB0DEB">
        <w:t>Section 33B DFIA 2002</w:t>
      </w:r>
      <w:r w:rsidR="002154F7">
        <w:t xml:space="preserve"> and previous Section 129 DFIA 2002</w:t>
      </w:r>
      <w:r w:rsidR="00102F42">
        <w:t>. S</w:t>
      </w:r>
      <w:r w:rsidR="00D54191">
        <w:t xml:space="preserve">ource: </w:t>
      </w:r>
      <w:r w:rsidR="009A30DE">
        <w:t>Authors</w:t>
      </w:r>
    </w:p>
    <w:p w14:paraId="43D6B80F" w14:textId="77777777" w:rsidR="00DB0DEB" w:rsidRDefault="00DB0DEB" w:rsidP="00DB0DEB">
      <w:pPr>
        <w:ind w:firstLine="0"/>
        <w:jc w:val="center"/>
      </w:pPr>
    </w:p>
    <w:tbl>
      <w:tblPr>
        <w:tblStyle w:val="TableGrid"/>
        <w:tblW w:w="0" w:type="auto"/>
        <w:tblLook w:val="04A0" w:firstRow="1" w:lastRow="0" w:firstColumn="1" w:lastColumn="0" w:noHBand="0" w:noVBand="1"/>
      </w:tblPr>
      <w:tblGrid>
        <w:gridCol w:w="3454"/>
        <w:gridCol w:w="3454"/>
      </w:tblGrid>
      <w:tr w:rsidR="002154F7" w:rsidRPr="004C4B93" w14:paraId="72776510" w14:textId="7AD90CE0" w:rsidTr="005E2DCE">
        <w:tc>
          <w:tcPr>
            <w:tcW w:w="3454" w:type="dxa"/>
            <w:shd w:val="clear" w:color="auto" w:fill="auto"/>
          </w:tcPr>
          <w:p w14:paraId="7B50CF61" w14:textId="51271D22" w:rsidR="002154F7" w:rsidRPr="00FA3BCF" w:rsidRDefault="00FF3885" w:rsidP="002154F7">
            <w:pPr>
              <w:spacing w:line="240" w:lineRule="atLeast"/>
              <w:ind w:firstLine="0"/>
              <w:jc w:val="left"/>
              <w:rPr>
                <w:rFonts w:ascii="Times New Roman" w:eastAsia="Times New Roman" w:hAnsi="Times New Roman" w:cs="Times New Roman"/>
                <w:b/>
                <w:sz w:val="18"/>
                <w:szCs w:val="18"/>
              </w:rPr>
            </w:pPr>
            <w:r w:rsidRPr="00FA3BCF">
              <w:rPr>
                <w:rFonts w:ascii="Times New Roman" w:eastAsia="Times New Roman" w:hAnsi="Times New Roman" w:cs="Times New Roman"/>
                <w:b/>
                <w:sz w:val="18"/>
                <w:szCs w:val="18"/>
              </w:rPr>
              <w:t xml:space="preserve">The new </w:t>
            </w:r>
            <w:r w:rsidR="002154F7" w:rsidRPr="00FA3BCF">
              <w:rPr>
                <w:rFonts w:ascii="Times New Roman" w:eastAsia="Times New Roman" w:hAnsi="Times New Roman" w:cs="Times New Roman"/>
                <w:b/>
                <w:sz w:val="18"/>
                <w:szCs w:val="18"/>
              </w:rPr>
              <w:t>Section 33B DFIA 2002</w:t>
            </w:r>
          </w:p>
          <w:p w14:paraId="6630B0F9" w14:textId="02FD42EF" w:rsidR="002154F7" w:rsidRPr="00FA3BCF" w:rsidRDefault="002154F7" w:rsidP="002154F7">
            <w:pPr>
              <w:spacing w:line="240" w:lineRule="atLeast"/>
              <w:ind w:firstLine="0"/>
              <w:jc w:val="left"/>
              <w:rPr>
                <w:rFonts w:ascii="Times New Roman" w:eastAsia="Times New Roman" w:hAnsi="Times New Roman" w:cs="Times New Roman"/>
                <w:sz w:val="18"/>
                <w:szCs w:val="18"/>
              </w:rPr>
            </w:pPr>
            <w:r w:rsidRPr="00FA3BCF">
              <w:rPr>
                <w:rFonts w:ascii="Times New Roman" w:eastAsia="Times New Roman" w:hAnsi="Times New Roman" w:cs="Times New Roman"/>
                <w:sz w:val="18"/>
                <w:szCs w:val="18"/>
              </w:rPr>
              <w:t>Effective Date : 31</w:t>
            </w:r>
            <w:r w:rsidRPr="00FA3BCF">
              <w:rPr>
                <w:rFonts w:ascii="Times New Roman" w:eastAsia="Times New Roman" w:hAnsi="Times New Roman" w:cs="Times New Roman"/>
                <w:sz w:val="18"/>
                <w:szCs w:val="18"/>
                <w:vertAlign w:val="superscript"/>
              </w:rPr>
              <w:t>st</w:t>
            </w:r>
            <w:r w:rsidRPr="00FA3BCF">
              <w:rPr>
                <w:rFonts w:ascii="Times New Roman" w:eastAsia="Times New Roman" w:hAnsi="Times New Roman" w:cs="Times New Roman"/>
                <w:sz w:val="18"/>
                <w:szCs w:val="18"/>
              </w:rPr>
              <w:t xml:space="preserve"> January 2016  </w:t>
            </w:r>
          </w:p>
          <w:p w14:paraId="750240A8" w14:textId="324F93C7" w:rsidR="002154F7" w:rsidRPr="00FA3BCF" w:rsidRDefault="002154F7" w:rsidP="002154F7">
            <w:pPr>
              <w:spacing w:line="240" w:lineRule="atLeast"/>
              <w:ind w:firstLine="0"/>
              <w:jc w:val="left"/>
              <w:rPr>
                <w:rFonts w:ascii="Times New Roman" w:eastAsia="Times New Roman" w:hAnsi="Times New Roman" w:cs="Times New Roman"/>
                <w:sz w:val="18"/>
                <w:szCs w:val="18"/>
              </w:rPr>
            </w:pPr>
          </w:p>
        </w:tc>
        <w:tc>
          <w:tcPr>
            <w:tcW w:w="3454" w:type="dxa"/>
            <w:shd w:val="clear" w:color="auto" w:fill="auto"/>
          </w:tcPr>
          <w:p w14:paraId="4F2238F3" w14:textId="6273A6E7" w:rsidR="002154F7" w:rsidRPr="00FA3BCF" w:rsidRDefault="00FF3885" w:rsidP="002154F7">
            <w:pPr>
              <w:spacing w:line="240" w:lineRule="atLeast"/>
              <w:ind w:firstLine="0"/>
              <w:jc w:val="left"/>
              <w:rPr>
                <w:rFonts w:ascii="Times New Roman" w:eastAsia="Times New Roman" w:hAnsi="Times New Roman" w:cs="Times New Roman"/>
                <w:b/>
                <w:sz w:val="18"/>
                <w:szCs w:val="18"/>
              </w:rPr>
            </w:pPr>
            <w:r w:rsidRPr="00FA3BCF">
              <w:rPr>
                <w:rFonts w:ascii="Times New Roman" w:eastAsia="Times New Roman" w:hAnsi="Times New Roman" w:cs="Times New Roman"/>
                <w:b/>
                <w:sz w:val="18"/>
                <w:szCs w:val="18"/>
              </w:rPr>
              <w:t xml:space="preserve">The old </w:t>
            </w:r>
            <w:r w:rsidR="002154F7" w:rsidRPr="00FA3BCF">
              <w:rPr>
                <w:rFonts w:ascii="Times New Roman" w:eastAsia="Times New Roman" w:hAnsi="Times New Roman" w:cs="Times New Roman"/>
                <w:b/>
                <w:sz w:val="18"/>
                <w:szCs w:val="18"/>
              </w:rPr>
              <w:t>Section 129 DFIA 2002</w:t>
            </w:r>
          </w:p>
          <w:p w14:paraId="6EEF9D8A" w14:textId="02C0968B" w:rsidR="002154F7" w:rsidRPr="00FA3BCF" w:rsidRDefault="002154F7" w:rsidP="002154F7">
            <w:pPr>
              <w:spacing w:line="240" w:lineRule="atLeast"/>
              <w:ind w:firstLine="0"/>
              <w:jc w:val="left"/>
              <w:rPr>
                <w:rFonts w:ascii="Times New Roman" w:eastAsia="Times New Roman" w:hAnsi="Times New Roman" w:cs="Times New Roman"/>
                <w:sz w:val="18"/>
                <w:szCs w:val="18"/>
              </w:rPr>
            </w:pPr>
            <w:r w:rsidRPr="00FA3BCF">
              <w:rPr>
                <w:rFonts w:ascii="Times New Roman" w:eastAsia="Times New Roman" w:hAnsi="Times New Roman" w:cs="Times New Roman"/>
                <w:sz w:val="18"/>
                <w:szCs w:val="18"/>
              </w:rPr>
              <w:t>Effective Date : 15</w:t>
            </w:r>
            <w:r w:rsidRPr="00FA3BCF">
              <w:rPr>
                <w:rFonts w:ascii="Times New Roman" w:eastAsia="Times New Roman" w:hAnsi="Times New Roman" w:cs="Times New Roman"/>
                <w:sz w:val="18"/>
                <w:szCs w:val="18"/>
                <w:vertAlign w:val="superscript"/>
              </w:rPr>
              <w:t>th</w:t>
            </w:r>
            <w:r w:rsidRPr="00FA3BCF">
              <w:rPr>
                <w:rFonts w:ascii="Times New Roman" w:eastAsia="Times New Roman" w:hAnsi="Times New Roman" w:cs="Times New Roman"/>
                <w:sz w:val="18"/>
                <w:szCs w:val="18"/>
              </w:rPr>
              <w:t xml:space="preserve"> February 2002  </w:t>
            </w:r>
          </w:p>
          <w:p w14:paraId="73CFFA2A" w14:textId="2EE65ADA" w:rsidR="002154F7" w:rsidRPr="00FA3BCF" w:rsidRDefault="002154F7" w:rsidP="00863E94">
            <w:pPr>
              <w:spacing w:line="240" w:lineRule="atLeast"/>
              <w:ind w:firstLine="0"/>
              <w:jc w:val="left"/>
              <w:rPr>
                <w:rFonts w:ascii="Times New Roman" w:eastAsia="Times New Roman" w:hAnsi="Times New Roman" w:cs="Times New Roman"/>
                <w:sz w:val="18"/>
                <w:szCs w:val="18"/>
              </w:rPr>
            </w:pPr>
            <w:r w:rsidRPr="00FA3BCF">
              <w:rPr>
                <w:rFonts w:ascii="Times New Roman" w:eastAsia="Times New Roman" w:hAnsi="Times New Roman" w:cs="Times New Roman"/>
                <w:sz w:val="18"/>
                <w:szCs w:val="18"/>
              </w:rPr>
              <w:t xml:space="preserve">Deleted </w:t>
            </w:r>
            <w:r w:rsidR="00AA3EF7" w:rsidRPr="00FA3BCF">
              <w:rPr>
                <w:rFonts w:ascii="Times New Roman" w:eastAsia="Times New Roman" w:hAnsi="Times New Roman" w:cs="Times New Roman"/>
                <w:sz w:val="18"/>
                <w:szCs w:val="18"/>
              </w:rPr>
              <w:t>o</w:t>
            </w:r>
            <w:r w:rsidRPr="00FA3BCF">
              <w:rPr>
                <w:rFonts w:ascii="Times New Roman" w:eastAsia="Times New Roman" w:hAnsi="Times New Roman" w:cs="Times New Roman"/>
                <w:sz w:val="18"/>
                <w:szCs w:val="18"/>
              </w:rPr>
              <w:t>n 31</w:t>
            </w:r>
            <w:r w:rsidRPr="00FA3BCF">
              <w:rPr>
                <w:rFonts w:ascii="Times New Roman" w:eastAsia="Times New Roman" w:hAnsi="Times New Roman" w:cs="Times New Roman"/>
                <w:sz w:val="18"/>
                <w:szCs w:val="18"/>
                <w:vertAlign w:val="superscript"/>
              </w:rPr>
              <w:t>st</w:t>
            </w:r>
            <w:r w:rsidRPr="00FA3BCF">
              <w:rPr>
                <w:rFonts w:ascii="Times New Roman" w:eastAsia="Times New Roman" w:hAnsi="Times New Roman" w:cs="Times New Roman"/>
                <w:sz w:val="18"/>
                <w:szCs w:val="18"/>
              </w:rPr>
              <w:t xml:space="preserve"> January 2016</w:t>
            </w:r>
          </w:p>
        </w:tc>
      </w:tr>
      <w:tr w:rsidR="002154F7" w:rsidRPr="004C4B93" w14:paraId="2200FF74" w14:textId="0CBD02CA" w:rsidTr="0048797D">
        <w:tc>
          <w:tcPr>
            <w:tcW w:w="3454" w:type="dxa"/>
          </w:tcPr>
          <w:p w14:paraId="1A176E15" w14:textId="47C49E50" w:rsidR="0032628F" w:rsidRPr="00FA3BCF" w:rsidRDefault="00FA3BCF" w:rsidP="002154F7">
            <w:pPr>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33B(1)(a): </w:t>
            </w:r>
            <w:r w:rsidR="00DE74A5" w:rsidRPr="00FA3BCF">
              <w:rPr>
                <w:rFonts w:ascii="Times New Roman" w:eastAsia="Times New Roman" w:hAnsi="Times New Roman" w:cs="Times New Roman"/>
                <w:sz w:val="18"/>
                <w:szCs w:val="18"/>
              </w:rPr>
              <w:t xml:space="preserve">Establishment of </w:t>
            </w:r>
            <w:r w:rsidR="0032628F" w:rsidRPr="00FA3BCF">
              <w:rPr>
                <w:rFonts w:ascii="Times New Roman" w:eastAsia="Times New Roman" w:hAnsi="Times New Roman" w:cs="Times New Roman"/>
                <w:sz w:val="18"/>
                <w:szCs w:val="18"/>
              </w:rPr>
              <w:t>Islamic DFIs</w:t>
            </w:r>
            <w:r w:rsidR="00DE74A5" w:rsidRPr="00FA3BCF">
              <w:rPr>
                <w:rFonts w:ascii="Times New Roman" w:eastAsia="Times New Roman" w:hAnsi="Times New Roman" w:cs="Times New Roman"/>
                <w:sz w:val="18"/>
                <w:szCs w:val="18"/>
              </w:rPr>
              <w:t xml:space="preserve"> with approval of BNM</w:t>
            </w:r>
            <w:r w:rsidR="00413E2A" w:rsidRPr="00FA3BCF">
              <w:rPr>
                <w:rFonts w:ascii="Times New Roman" w:eastAsia="Times New Roman" w:hAnsi="Times New Roman" w:cs="Times New Roman"/>
                <w:sz w:val="18"/>
                <w:szCs w:val="18"/>
              </w:rPr>
              <w:t>.</w:t>
            </w:r>
          </w:p>
          <w:p w14:paraId="41EFA7B1" w14:textId="7A54C3F0" w:rsidR="002154F7" w:rsidRPr="00FA3BCF" w:rsidRDefault="00DE74A5" w:rsidP="00FA3BCF">
            <w:pPr>
              <w:ind w:firstLine="0"/>
              <w:rPr>
                <w:rFonts w:ascii="Times New Roman" w:eastAsia="Times New Roman" w:hAnsi="Times New Roman" w:cs="Times New Roman"/>
                <w:sz w:val="18"/>
                <w:szCs w:val="18"/>
              </w:rPr>
            </w:pPr>
            <w:r w:rsidRPr="00FA3BCF">
              <w:rPr>
                <w:rFonts w:ascii="Times New Roman" w:eastAsia="Times New Roman" w:hAnsi="Times New Roman" w:cs="Times New Roman"/>
                <w:sz w:val="18"/>
                <w:szCs w:val="18"/>
              </w:rPr>
              <w:lastRenderedPageBreak/>
              <w:t>Section 33B</w:t>
            </w:r>
            <w:r w:rsidR="002154F7" w:rsidRPr="00FA3BCF">
              <w:rPr>
                <w:rFonts w:ascii="Times New Roman" w:eastAsia="Times New Roman" w:hAnsi="Times New Roman" w:cs="Times New Roman"/>
                <w:sz w:val="18"/>
                <w:szCs w:val="18"/>
              </w:rPr>
              <w:t>(1)(b)</w:t>
            </w:r>
            <w:r w:rsidR="00FA3BCF">
              <w:rPr>
                <w:rFonts w:ascii="Times New Roman" w:eastAsia="Times New Roman" w:hAnsi="Times New Roman" w:cs="Times New Roman"/>
                <w:sz w:val="18"/>
                <w:szCs w:val="18"/>
              </w:rPr>
              <w:t xml:space="preserve">: </w:t>
            </w:r>
            <w:r w:rsidRPr="00FA3BCF">
              <w:rPr>
                <w:rFonts w:ascii="Times New Roman" w:eastAsia="Times New Roman" w:hAnsi="Times New Roman" w:cs="Times New Roman"/>
                <w:sz w:val="18"/>
                <w:szCs w:val="18"/>
              </w:rPr>
              <w:t xml:space="preserve">Establishment of </w:t>
            </w:r>
            <w:r w:rsidR="0032628F" w:rsidRPr="00FA3BCF">
              <w:rPr>
                <w:rFonts w:ascii="Times New Roman" w:eastAsia="Times New Roman" w:hAnsi="Times New Roman" w:cs="Times New Roman"/>
                <w:sz w:val="18"/>
                <w:szCs w:val="18"/>
              </w:rPr>
              <w:t>Islamic Banking Window</w:t>
            </w:r>
            <w:r w:rsidRPr="00FA3BCF">
              <w:rPr>
                <w:rFonts w:ascii="Times New Roman" w:eastAsia="Times New Roman" w:hAnsi="Times New Roman" w:cs="Times New Roman"/>
                <w:sz w:val="18"/>
                <w:szCs w:val="18"/>
              </w:rPr>
              <w:t xml:space="preserve"> </w:t>
            </w:r>
            <w:r w:rsidR="00413E2A" w:rsidRPr="00FA3BCF">
              <w:rPr>
                <w:rFonts w:ascii="Times New Roman" w:eastAsia="Times New Roman" w:hAnsi="Times New Roman" w:cs="Times New Roman"/>
                <w:sz w:val="18"/>
                <w:szCs w:val="18"/>
              </w:rPr>
              <w:t xml:space="preserve">by DFIs </w:t>
            </w:r>
            <w:r w:rsidRPr="00FA3BCF">
              <w:rPr>
                <w:rFonts w:ascii="Times New Roman" w:eastAsia="Times New Roman" w:hAnsi="Times New Roman" w:cs="Times New Roman"/>
                <w:sz w:val="18"/>
                <w:szCs w:val="18"/>
              </w:rPr>
              <w:t>with approval of BNM</w:t>
            </w:r>
            <w:r w:rsidR="00413E2A" w:rsidRPr="00FA3BCF">
              <w:rPr>
                <w:rFonts w:ascii="Times New Roman" w:eastAsia="Times New Roman" w:hAnsi="Times New Roman" w:cs="Times New Roman"/>
                <w:sz w:val="18"/>
                <w:szCs w:val="18"/>
              </w:rPr>
              <w:t>.</w:t>
            </w:r>
          </w:p>
        </w:tc>
        <w:tc>
          <w:tcPr>
            <w:tcW w:w="3454" w:type="dxa"/>
          </w:tcPr>
          <w:p w14:paraId="4A20B7A7" w14:textId="250768B4" w:rsidR="002154F7" w:rsidRPr="00FA3BCF" w:rsidRDefault="002154F7" w:rsidP="002154F7">
            <w:pPr>
              <w:ind w:firstLine="0"/>
              <w:rPr>
                <w:rFonts w:ascii="Times New Roman" w:eastAsia="Times New Roman" w:hAnsi="Times New Roman" w:cs="Times New Roman"/>
                <w:sz w:val="18"/>
                <w:szCs w:val="18"/>
                <w:lang w:val="en-MY"/>
              </w:rPr>
            </w:pPr>
            <w:r w:rsidRPr="00FA3BCF">
              <w:rPr>
                <w:rFonts w:ascii="Times New Roman" w:eastAsia="Times New Roman" w:hAnsi="Times New Roman" w:cs="Times New Roman"/>
                <w:sz w:val="18"/>
                <w:szCs w:val="18"/>
                <w:lang w:val="en-MY"/>
              </w:rPr>
              <w:lastRenderedPageBreak/>
              <w:t>There</w:t>
            </w:r>
            <w:r w:rsidR="003E6AC0" w:rsidRPr="00FA3BCF">
              <w:rPr>
                <w:rFonts w:ascii="Times New Roman" w:eastAsia="Times New Roman" w:hAnsi="Times New Roman" w:cs="Times New Roman"/>
                <w:sz w:val="18"/>
                <w:szCs w:val="18"/>
                <w:lang w:val="en-MY"/>
              </w:rPr>
              <w:t xml:space="preserve"> is no provision on establishment of DFIs as full-fledged Islamic DFIs</w:t>
            </w:r>
          </w:p>
        </w:tc>
      </w:tr>
      <w:tr w:rsidR="002154F7" w:rsidRPr="004C4B93" w14:paraId="1B26A587" w14:textId="64326B51" w:rsidTr="0048797D">
        <w:tc>
          <w:tcPr>
            <w:tcW w:w="3454" w:type="dxa"/>
          </w:tcPr>
          <w:p w14:paraId="2D11B3AC" w14:textId="5AFEB83A" w:rsidR="002154F7" w:rsidRPr="00FA3BCF" w:rsidRDefault="00FA3BCF" w:rsidP="002154F7">
            <w:pPr>
              <w:spacing w:line="240" w:lineRule="atLeast"/>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33B(2): </w:t>
            </w:r>
            <w:r w:rsidR="0032628F" w:rsidRPr="00FA3BCF">
              <w:rPr>
                <w:rFonts w:ascii="Times New Roman" w:eastAsia="Times New Roman" w:hAnsi="Times New Roman" w:cs="Times New Roman"/>
                <w:sz w:val="18"/>
                <w:szCs w:val="18"/>
              </w:rPr>
              <w:t>Power of BNM to impose conditions</w:t>
            </w:r>
            <w:r w:rsidR="00DE74A5" w:rsidRPr="00FA3BCF">
              <w:rPr>
                <w:rFonts w:ascii="Times New Roman" w:eastAsia="Times New Roman" w:hAnsi="Times New Roman" w:cs="Times New Roman"/>
                <w:sz w:val="18"/>
                <w:szCs w:val="18"/>
              </w:rPr>
              <w:t xml:space="preserve"> for establishment of Islamic DFIs and Islamic Banking Window</w:t>
            </w:r>
          </w:p>
        </w:tc>
        <w:tc>
          <w:tcPr>
            <w:tcW w:w="3454" w:type="dxa"/>
          </w:tcPr>
          <w:p w14:paraId="7D4BE09B" w14:textId="1FDD505F" w:rsidR="003E6AC0" w:rsidRPr="00FA3BCF" w:rsidRDefault="003E6AC0" w:rsidP="003E6AC0">
            <w:pPr>
              <w:spacing w:line="240" w:lineRule="atLeast"/>
              <w:ind w:firstLine="0"/>
              <w:rPr>
                <w:rFonts w:ascii="Times New Roman" w:eastAsia="Times New Roman" w:hAnsi="Times New Roman" w:cs="Times New Roman"/>
                <w:sz w:val="18"/>
                <w:szCs w:val="18"/>
                <w:lang w:val="en-MY"/>
              </w:rPr>
            </w:pPr>
            <w:r w:rsidRPr="00FA3BCF">
              <w:rPr>
                <w:rFonts w:ascii="Times New Roman" w:eastAsia="Times New Roman" w:hAnsi="Times New Roman" w:cs="Times New Roman"/>
                <w:sz w:val="18"/>
                <w:szCs w:val="18"/>
                <w:lang w:val="en-MY"/>
              </w:rPr>
              <w:t>The</w:t>
            </w:r>
            <w:r w:rsidR="00024F9B" w:rsidRPr="00FA3BCF">
              <w:rPr>
                <w:rFonts w:ascii="Times New Roman" w:eastAsia="Times New Roman" w:hAnsi="Times New Roman" w:cs="Times New Roman"/>
                <w:sz w:val="18"/>
                <w:szCs w:val="18"/>
                <w:lang w:val="en-MY"/>
              </w:rPr>
              <w:t xml:space="preserve">re is </w:t>
            </w:r>
            <w:r w:rsidR="00A76871" w:rsidRPr="00FA3BCF">
              <w:rPr>
                <w:rFonts w:ascii="Times New Roman" w:eastAsia="Times New Roman" w:hAnsi="Times New Roman" w:cs="Times New Roman"/>
                <w:sz w:val="18"/>
                <w:szCs w:val="18"/>
                <w:lang w:val="en-MY"/>
              </w:rPr>
              <w:t xml:space="preserve">no </w:t>
            </w:r>
            <w:r w:rsidR="00024F9B" w:rsidRPr="00FA3BCF">
              <w:rPr>
                <w:rFonts w:ascii="Times New Roman" w:eastAsia="Times New Roman" w:hAnsi="Times New Roman" w:cs="Times New Roman"/>
                <w:sz w:val="18"/>
                <w:szCs w:val="18"/>
                <w:lang w:val="en-MY"/>
              </w:rPr>
              <w:t>specific provision on imposition of conditions by BNM.</w:t>
            </w:r>
          </w:p>
        </w:tc>
      </w:tr>
      <w:tr w:rsidR="002154F7" w:rsidRPr="004C4B93" w14:paraId="15011D9B" w14:textId="62F4A6DF" w:rsidTr="0048797D">
        <w:tc>
          <w:tcPr>
            <w:tcW w:w="3454" w:type="dxa"/>
          </w:tcPr>
          <w:p w14:paraId="0EE8D35C" w14:textId="206EB670" w:rsidR="002154F7" w:rsidRPr="00FA3BCF" w:rsidRDefault="00FA3BCF" w:rsidP="0032628F">
            <w:pPr>
              <w:spacing w:line="240" w:lineRule="atLeast"/>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Section 33</w:t>
            </w:r>
            <w:proofErr w:type="gramStart"/>
            <w:r>
              <w:rPr>
                <w:rFonts w:ascii="Times New Roman" w:eastAsia="Times New Roman" w:hAnsi="Times New Roman" w:cs="Times New Roman"/>
                <w:sz w:val="18"/>
                <w:szCs w:val="18"/>
              </w:rPr>
              <w:t>B(</w:t>
            </w:r>
            <w:proofErr w:type="gramEnd"/>
            <w:r>
              <w:rPr>
                <w:rFonts w:ascii="Times New Roman" w:eastAsia="Times New Roman" w:hAnsi="Times New Roman" w:cs="Times New Roman"/>
                <w:sz w:val="18"/>
                <w:szCs w:val="18"/>
              </w:rPr>
              <w:t xml:space="preserve">3): </w:t>
            </w:r>
            <w:r w:rsidR="0032628F" w:rsidRPr="00FA3BCF">
              <w:rPr>
                <w:rFonts w:ascii="Times New Roman" w:eastAsia="Times New Roman" w:hAnsi="Times New Roman" w:cs="Times New Roman"/>
                <w:sz w:val="18"/>
                <w:szCs w:val="18"/>
              </w:rPr>
              <w:t xml:space="preserve">Conversion of DFIs from </w:t>
            </w:r>
            <w:r w:rsidR="002154F7" w:rsidRPr="00FA3BCF">
              <w:rPr>
                <w:rFonts w:ascii="Times New Roman" w:eastAsia="Times New Roman" w:hAnsi="Times New Roman" w:cs="Times New Roman"/>
                <w:sz w:val="18"/>
                <w:szCs w:val="18"/>
              </w:rPr>
              <w:t>Section 33</w:t>
            </w:r>
            <w:r w:rsidR="00DE74A5" w:rsidRPr="00FA3BCF">
              <w:rPr>
                <w:rFonts w:ascii="Times New Roman" w:eastAsia="Times New Roman" w:hAnsi="Times New Roman" w:cs="Times New Roman"/>
                <w:sz w:val="18"/>
                <w:szCs w:val="18"/>
              </w:rPr>
              <w:t>B(1)(b) to Section33B(1)(a)</w:t>
            </w:r>
            <w:r w:rsidR="002154F7" w:rsidRPr="00FA3BCF">
              <w:rPr>
                <w:rFonts w:ascii="Times New Roman" w:eastAsia="Times New Roman" w:hAnsi="Times New Roman" w:cs="Times New Roman"/>
                <w:sz w:val="18"/>
                <w:szCs w:val="18"/>
              </w:rPr>
              <w:t xml:space="preserve"> </w:t>
            </w:r>
            <w:r w:rsidR="00DE74A5" w:rsidRPr="00FA3BCF">
              <w:rPr>
                <w:rFonts w:ascii="Times New Roman" w:eastAsia="Times New Roman" w:hAnsi="Times New Roman" w:cs="Times New Roman"/>
                <w:sz w:val="18"/>
                <w:szCs w:val="18"/>
              </w:rPr>
              <w:t>shall be subject to</w:t>
            </w:r>
            <w:r w:rsidR="002154F7" w:rsidRPr="00FA3BCF">
              <w:rPr>
                <w:rFonts w:ascii="Times New Roman" w:eastAsia="Times New Roman" w:hAnsi="Times New Roman" w:cs="Times New Roman"/>
                <w:sz w:val="18"/>
                <w:szCs w:val="18"/>
              </w:rPr>
              <w:t xml:space="preserve"> written approval of BNM.</w:t>
            </w:r>
          </w:p>
        </w:tc>
        <w:tc>
          <w:tcPr>
            <w:tcW w:w="3454" w:type="dxa"/>
          </w:tcPr>
          <w:p w14:paraId="5EB2AFEC" w14:textId="75EB2505" w:rsidR="003E6AC0" w:rsidRPr="00FA3BCF" w:rsidRDefault="003E6AC0" w:rsidP="00DE74A5">
            <w:pPr>
              <w:ind w:firstLine="0"/>
              <w:rPr>
                <w:rFonts w:ascii="Times New Roman" w:eastAsia="Times New Roman" w:hAnsi="Times New Roman" w:cs="Times New Roman"/>
                <w:sz w:val="18"/>
                <w:szCs w:val="18"/>
                <w:lang w:val="en-MY"/>
              </w:rPr>
            </w:pPr>
            <w:r w:rsidRPr="00FA3BCF">
              <w:rPr>
                <w:rFonts w:ascii="Times New Roman" w:eastAsia="Times New Roman" w:hAnsi="Times New Roman" w:cs="Times New Roman"/>
                <w:sz w:val="18"/>
                <w:szCs w:val="18"/>
                <w:lang w:val="en-MY"/>
              </w:rPr>
              <w:t xml:space="preserve">There is no </w:t>
            </w:r>
            <w:r w:rsidR="0033265D" w:rsidRPr="00FA3BCF">
              <w:rPr>
                <w:rFonts w:ascii="Times New Roman" w:eastAsia="Times New Roman" w:hAnsi="Times New Roman" w:cs="Times New Roman"/>
                <w:sz w:val="18"/>
                <w:szCs w:val="18"/>
                <w:lang w:val="en-MY"/>
              </w:rPr>
              <w:t xml:space="preserve">express </w:t>
            </w:r>
            <w:r w:rsidRPr="00FA3BCF">
              <w:rPr>
                <w:rFonts w:ascii="Times New Roman" w:eastAsia="Times New Roman" w:hAnsi="Times New Roman" w:cs="Times New Roman"/>
                <w:sz w:val="18"/>
                <w:szCs w:val="18"/>
                <w:lang w:val="en-MY"/>
              </w:rPr>
              <w:t xml:space="preserve">statutory requirement </w:t>
            </w:r>
            <w:r w:rsidR="00DE74A5" w:rsidRPr="00FA3BCF">
              <w:rPr>
                <w:rFonts w:ascii="Times New Roman" w:eastAsia="Times New Roman" w:hAnsi="Times New Roman" w:cs="Times New Roman"/>
                <w:sz w:val="18"/>
                <w:szCs w:val="18"/>
                <w:lang w:val="en-MY"/>
              </w:rPr>
              <w:t>on conversion</w:t>
            </w:r>
            <w:r w:rsidR="00413E2A" w:rsidRPr="00FA3BCF">
              <w:rPr>
                <w:rFonts w:ascii="Times New Roman" w:eastAsia="Times New Roman" w:hAnsi="Times New Roman" w:cs="Times New Roman"/>
                <w:sz w:val="18"/>
                <w:szCs w:val="18"/>
                <w:lang w:val="en-MY"/>
              </w:rPr>
              <w:t xml:space="preserve"> subject to approval of DFIs and any conditions imposed by BNM.</w:t>
            </w:r>
          </w:p>
        </w:tc>
      </w:tr>
      <w:tr w:rsidR="002154F7" w:rsidRPr="004C4B93" w14:paraId="6CC64E0F" w14:textId="0813D4B1" w:rsidTr="0048797D">
        <w:tc>
          <w:tcPr>
            <w:tcW w:w="3454" w:type="dxa"/>
          </w:tcPr>
          <w:p w14:paraId="42B9CBA5" w14:textId="294290F2" w:rsidR="002154F7" w:rsidRPr="00FA3BCF" w:rsidRDefault="00FA3BCF" w:rsidP="00DE74A5">
            <w:pPr>
              <w:spacing w:line="240" w:lineRule="atLeast"/>
              <w:ind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Section 33B(4): </w:t>
            </w:r>
            <w:r w:rsidR="00DE74A5" w:rsidRPr="00FA3BCF">
              <w:rPr>
                <w:rFonts w:ascii="Times New Roman" w:eastAsia="Times New Roman" w:hAnsi="Times New Roman" w:cs="Times New Roman"/>
                <w:sz w:val="18"/>
                <w:szCs w:val="18"/>
              </w:rPr>
              <w:t xml:space="preserve">Criminal </w:t>
            </w:r>
            <w:r w:rsidR="002154F7" w:rsidRPr="00FA3BCF">
              <w:rPr>
                <w:rFonts w:ascii="Times New Roman" w:eastAsia="Times New Roman" w:hAnsi="Times New Roman" w:cs="Times New Roman"/>
                <w:sz w:val="18"/>
                <w:szCs w:val="18"/>
              </w:rPr>
              <w:t>offence</w:t>
            </w:r>
            <w:r w:rsidR="00DE74A5" w:rsidRPr="00FA3BCF">
              <w:rPr>
                <w:rFonts w:ascii="Times New Roman" w:eastAsia="Times New Roman" w:hAnsi="Times New Roman" w:cs="Times New Roman"/>
                <w:sz w:val="18"/>
                <w:szCs w:val="18"/>
              </w:rPr>
              <w:t xml:space="preserve"> on conviction</w:t>
            </w:r>
            <w:r w:rsidR="002154F7" w:rsidRPr="00FA3BCF">
              <w:rPr>
                <w:rFonts w:ascii="Times New Roman" w:eastAsia="Times New Roman" w:hAnsi="Times New Roman" w:cs="Times New Roman"/>
                <w:sz w:val="18"/>
                <w:szCs w:val="18"/>
              </w:rPr>
              <w:t xml:space="preserve"> shall be liable to imprisonment for a term not exceeding ten years or to a fine not exceeding fifty million ringgit or to both.</w:t>
            </w:r>
          </w:p>
        </w:tc>
        <w:tc>
          <w:tcPr>
            <w:tcW w:w="3454" w:type="dxa"/>
          </w:tcPr>
          <w:p w14:paraId="7BD3499D" w14:textId="5F0BBBBE" w:rsidR="00FF3885" w:rsidRPr="00FA3BCF" w:rsidRDefault="00FF3885" w:rsidP="002154F7">
            <w:pPr>
              <w:ind w:firstLine="0"/>
              <w:rPr>
                <w:rFonts w:ascii="Times New Roman" w:eastAsia="Times New Roman" w:hAnsi="Times New Roman" w:cs="Times New Roman"/>
                <w:sz w:val="18"/>
                <w:szCs w:val="18"/>
                <w:lang w:val="en-MY"/>
              </w:rPr>
            </w:pPr>
            <w:r w:rsidRPr="00FA3BCF">
              <w:rPr>
                <w:rFonts w:ascii="Times New Roman" w:eastAsia="Times New Roman" w:hAnsi="Times New Roman" w:cs="Times New Roman"/>
                <w:sz w:val="18"/>
                <w:szCs w:val="18"/>
                <w:lang w:val="en-MY"/>
              </w:rPr>
              <w:t>There is no provision on criminal offence</w:t>
            </w:r>
            <w:r w:rsidR="00DE74A5" w:rsidRPr="00FA3BCF">
              <w:rPr>
                <w:rFonts w:ascii="Times New Roman" w:eastAsia="Times New Roman" w:hAnsi="Times New Roman" w:cs="Times New Roman"/>
                <w:sz w:val="18"/>
                <w:szCs w:val="18"/>
                <w:lang w:val="en-MY"/>
              </w:rPr>
              <w:t xml:space="preserve"> on any contravention of Shariah Requirements</w:t>
            </w:r>
            <w:r w:rsidR="00413E2A" w:rsidRPr="00FA3BCF">
              <w:rPr>
                <w:rFonts w:ascii="Times New Roman" w:eastAsia="Times New Roman" w:hAnsi="Times New Roman" w:cs="Times New Roman"/>
                <w:sz w:val="18"/>
                <w:szCs w:val="18"/>
                <w:lang w:val="en-MY"/>
              </w:rPr>
              <w:t>.</w:t>
            </w:r>
          </w:p>
        </w:tc>
      </w:tr>
    </w:tbl>
    <w:p w14:paraId="6D162EFA" w14:textId="77777777" w:rsidR="004C4B93" w:rsidRDefault="004C4B93" w:rsidP="004C4B93">
      <w:pPr>
        <w:ind w:firstLine="0"/>
      </w:pPr>
    </w:p>
    <w:p w14:paraId="0FFBFF42" w14:textId="344E8DE2" w:rsidR="004C4B93" w:rsidRDefault="004C4B93" w:rsidP="004C4B93">
      <w:r w:rsidRPr="004C4B93">
        <w:t xml:space="preserve">It is evidenced from the achievement of SME Bank </w:t>
      </w:r>
      <w:r w:rsidR="00F32152">
        <w:t xml:space="preserve">in 2019 </w:t>
      </w:r>
      <w:r w:rsidRPr="004C4B93">
        <w:t>where 95.9</w:t>
      </w:r>
      <w:r w:rsidR="007D5E42">
        <w:t>%</w:t>
      </w:r>
      <w:r w:rsidRPr="004C4B93">
        <w:t xml:space="preserve"> of its Islamic Banking business comprises from Islamic Banking portfolio</w:t>
      </w:r>
      <w:r w:rsidR="007D5E42">
        <w:t xml:space="preserve"> but still remain as Islamic Banking window under </w:t>
      </w:r>
      <w:r w:rsidRPr="004C4B93">
        <w:t>Section 33B</w:t>
      </w:r>
      <w:r w:rsidR="007D5E42">
        <w:t>(1)(b)</w:t>
      </w:r>
      <w:r w:rsidRPr="004C4B93">
        <w:t xml:space="preserve"> DFIA 2002</w:t>
      </w:r>
      <w:r w:rsidR="007D5E42">
        <w:t xml:space="preserve">. </w:t>
      </w:r>
    </w:p>
    <w:p w14:paraId="7672B6AF" w14:textId="65D98BA9" w:rsidR="004C4B93" w:rsidRDefault="004C4B93" w:rsidP="004C4B93"/>
    <w:p w14:paraId="08D8A46F" w14:textId="46D2422E" w:rsidR="004C4B93" w:rsidRPr="004C4B93" w:rsidRDefault="004C4B93" w:rsidP="0033400E">
      <w:pPr>
        <w:jc w:val="center"/>
      </w:pPr>
      <w:r w:rsidRPr="004C4B93">
        <w:rPr>
          <w:noProof/>
          <w:lang w:val="en-MY" w:eastAsia="en-MY"/>
        </w:rPr>
        <w:drawing>
          <wp:inline distT="0" distB="0" distL="0" distR="0" wp14:anchorId="0B41B82E" wp14:editId="458146A5">
            <wp:extent cx="2550465" cy="167714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906" t="23730" r="16729" b="15492"/>
                    <a:stretch/>
                  </pic:blipFill>
                  <pic:spPr bwMode="auto">
                    <a:xfrm>
                      <a:off x="0" y="0"/>
                      <a:ext cx="2557221" cy="1681589"/>
                    </a:xfrm>
                    <a:prstGeom prst="rect">
                      <a:avLst/>
                    </a:prstGeom>
                    <a:ln>
                      <a:noFill/>
                    </a:ln>
                    <a:extLst>
                      <a:ext uri="{53640926-AAD7-44D8-BBD7-CCE9431645EC}">
                        <a14:shadowObscured xmlns:a14="http://schemas.microsoft.com/office/drawing/2010/main"/>
                      </a:ext>
                    </a:extLst>
                  </pic:spPr>
                </pic:pic>
              </a:graphicData>
            </a:graphic>
          </wp:inline>
        </w:drawing>
      </w:r>
    </w:p>
    <w:p w14:paraId="26A9B4E0" w14:textId="3A03BF05" w:rsidR="004C4B93" w:rsidRDefault="00062C43" w:rsidP="004C4B93">
      <w:pPr>
        <w:ind w:firstLine="0"/>
        <w:jc w:val="center"/>
      </w:pPr>
      <w:r>
        <w:t>Fig. 2</w:t>
      </w:r>
      <w:r w:rsidR="004C4B93">
        <w:t>. Composition of Financing as at December 2019 in SME Bank Malaysia</w:t>
      </w:r>
    </w:p>
    <w:p w14:paraId="578CB2BD" w14:textId="77777777" w:rsidR="004C4B93" w:rsidRDefault="004C4B93" w:rsidP="004C4B93">
      <w:pPr>
        <w:ind w:firstLine="0"/>
        <w:jc w:val="center"/>
      </w:pPr>
      <w:bookmarkStart w:id="1" w:name="_Hlk85872401"/>
      <w:r>
        <w:t>Source: Annual Report SME Bank (2019)</w:t>
      </w:r>
    </w:p>
    <w:bookmarkEnd w:id="1"/>
    <w:p w14:paraId="4BB1F3CC" w14:textId="77777777" w:rsidR="004C4B93" w:rsidRDefault="004C4B93" w:rsidP="004C4B93">
      <w:pPr>
        <w:ind w:firstLine="0"/>
      </w:pPr>
    </w:p>
    <w:p w14:paraId="3A37CEE3" w14:textId="610D892B" w:rsidR="004C4B93" w:rsidRDefault="004C4B93" w:rsidP="004C4B93">
      <w:r>
        <w:t>Therefore, the amendments to DFIA 2002 have imposed the stringent requirements in order to realign with provision of IFSA 2013.</w:t>
      </w:r>
      <w:r w:rsidR="00D94579">
        <w:t xml:space="preserve"> The study conducted by ISRA in 2020 proposed a framework for conversion with limitation to DFIs issues on conversion considering the unique characteristics of DFIs (ISRA,2020).</w:t>
      </w:r>
    </w:p>
    <w:p w14:paraId="1FF638ED" w14:textId="77777777" w:rsidR="00E57F84" w:rsidRPr="00E57F84" w:rsidRDefault="00E57F84" w:rsidP="00E57F84">
      <w:pPr>
        <w:pStyle w:val="heading1"/>
      </w:pPr>
      <w:r w:rsidRPr="00E57F84">
        <w:t>Research Methodology</w:t>
      </w:r>
    </w:p>
    <w:p w14:paraId="025D38FF" w14:textId="46DD5809" w:rsidR="00495D3D" w:rsidRDefault="00495D3D" w:rsidP="00495D3D">
      <w:pPr>
        <w:ind w:firstLine="0"/>
      </w:pPr>
      <w:r>
        <w:t xml:space="preserve">This study is a qualitative legal research which is based on the doctrinal legal research methodology (McConville &amp; Chui, </w:t>
      </w:r>
      <w:proofErr w:type="gramStart"/>
      <w:r>
        <w:t>2007)(</w:t>
      </w:r>
      <w:proofErr w:type="gramEnd"/>
      <w:r>
        <w:t xml:space="preserve"> Hutchinson, 2013). The method is used to </w:t>
      </w:r>
      <w:proofErr w:type="spellStart"/>
      <w:r>
        <w:t>analyse</w:t>
      </w:r>
      <w:proofErr w:type="spellEnd"/>
      <w:r>
        <w:t xml:space="preserve"> the provision of DFIA 2002 on conversion and the implications</w:t>
      </w:r>
      <w:r w:rsidR="009352BE">
        <w:t xml:space="preserve"> after its amendments in 2015. </w:t>
      </w:r>
    </w:p>
    <w:p w14:paraId="31A63DD6" w14:textId="7B5C330F" w:rsidR="00E57F84" w:rsidRDefault="00495D3D" w:rsidP="00FC07CC">
      <w:r>
        <w:t>This study is an exploratory study by examining the relevant BNM reports</w:t>
      </w:r>
      <w:r w:rsidR="00D54191">
        <w:t>, DFIs Annual Report and Financial Statements</w:t>
      </w:r>
      <w:r>
        <w:t xml:space="preserve"> as well as other primary and secondary data </w:t>
      </w:r>
      <w:r>
        <w:lastRenderedPageBreak/>
        <w:t xml:space="preserve">available in the internet and library. </w:t>
      </w:r>
      <w:r w:rsidR="00E57F84" w:rsidRPr="00E57F84">
        <w:t>This study uses library research and interviews</w:t>
      </w:r>
      <w:r w:rsidR="00E624BB">
        <w:t xml:space="preserve"> to explore the current laws and regulations regulating conversion of DFIs in Malaysia</w:t>
      </w:r>
      <w:r w:rsidR="00D54191">
        <w:t xml:space="preserve"> under DFIA 2002</w:t>
      </w:r>
      <w:r w:rsidR="00E57F84" w:rsidRPr="00E57F84">
        <w:t xml:space="preserve">, </w:t>
      </w:r>
      <w:r w:rsidR="00D54191">
        <w:t xml:space="preserve">legal </w:t>
      </w:r>
      <w:r w:rsidR="00E57F84" w:rsidRPr="00E57F84">
        <w:t>issues a</w:t>
      </w:r>
      <w:r w:rsidR="00E624BB">
        <w:t>nd challenges on conversion</w:t>
      </w:r>
      <w:r w:rsidR="00E57F84" w:rsidRPr="00E57F84">
        <w:t xml:space="preserve">. </w:t>
      </w:r>
      <w:r w:rsidR="00E624BB">
        <w:t>D</w:t>
      </w:r>
      <w:r w:rsidR="00647271">
        <w:t xml:space="preserve">ata </w:t>
      </w:r>
      <w:r w:rsidR="00E624BB">
        <w:t xml:space="preserve">which </w:t>
      </w:r>
      <w:r w:rsidR="00647271">
        <w:t xml:space="preserve">are acquired from </w:t>
      </w:r>
      <w:r w:rsidR="00E624BB">
        <w:t xml:space="preserve">annual report, </w:t>
      </w:r>
      <w:r w:rsidR="00647271" w:rsidRPr="008202BB">
        <w:rPr>
          <w:szCs w:val="24"/>
          <w:lang w:val="en-GB"/>
        </w:rPr>
        <w:t>related journals, regulatio</w:t>
      </w:r>
      <w:r w:rsidR="00E624BB">
        <w:rPr>
          <w:szCs w:val="24"/>
          <w:lang w:val="en-GB"/>
        </w:rPr>
        <w:t xml:space="preserve">ns and library research </w:t>
      </w:r>
      <w:r w:rsidR="00647271" w:rsidRPr="008202BB">
        <w:rPr>
          <w:szCs w:val="24"/>
          <w:lang w:val="en-GB"/>
        </w:rPr>
        <w:t>limited</w:t>
      </w:r>
      <w:r w:rsidR="00E624BB">
        <w:rPr>
          <w:szCs w:val="24"/>
          <w:lang w:val="en-GB"/>
        </w:rPr>
        <w:t xml:space="preserve"> to the research area</w:t>
      </w:r>
      <w:r w:rsidR="00647271" w:rsidRPr="008202BB">
        <w:rPr>
          <w:szCs w:val="24"/>
          <w:lang w:val="en-GB"/>
        </w:rPr>
        <w:t xml:space="preserve"> since </w:t>
      </w:r>
      <w:r w:rsidR="00E624BB">
        <w:rPr>
          <w:szCs w:val="24"/>
          <w:lang w:val="en-GB"/>
        </w:rPr>
        <w:t>the amendments of DFIA 2002 five</w:t>
      </w:r>
      <w:r w:rsidR="00647271" w:rsidRPr="008202BB">
        <w:rPr>
          <w:szCs w:val="24"/>
          <w:lang w:val="en-GB"/>
        </w:rPr>
        <w:t xml:space="preserve"> years ago</w:t>
      </w:r>
      <w:r w:rsidR="00647271">
        <w:rPr>
          <w:szCs w:val="24"/>
          <w:lang w:val="en-GB"/>
        </w:rPr>
        <w:t xml:space="preserve">. </w:t>
      </w:r>
      <w:r w:rsidR="00647271">
        <w:t>The interviews are important to complement the findings from library research in order to present a more comprehensive discussion.</w:t>
      </w:r>
    </w:p>
    <w:p w14:paraId="2C18309B" w14:textId="3269E67B" w:rsidR="00E57F84" w:rsidRDefault="00E57F84" w:rsidP="00E57F84">
      <w:pPr>
        <w:pStyle w:val="heading1"/>
      </w:pPr>
      <w:r>
        <w:t>Find</w:t>
      </w:r>
      <w:r w:rsidRPr="00E57F84">
        <w:t xml:space="preserve">ing and </w:t>
      </w:r>
      <w:r>
        <w:t xml:space="preserve">Discussion  </w:t>
      </w:r>
    </w:p>
    <w:p w14:paraId="23BBC30B" w14:textId="6A6F32A9" w:rsidR="0090071B" w:rsidRPr="0090071B" w:rsidRDefault="00DB6681" w:rsidP="0090071B">
      <w:pPr>
        <w:pStyle w:val="heading2"/>
        <w:spacing w:before="0"/>
      </w:pPr>
      <w:bookmarkStart w:id="2" w:name="_Toc49646282"/>
      <w:r>
        <w:t>The c</w:t>
      </w:r>
      <w:r w:rsidR="009352BE">
        <w:t>onversion of DFIs</w:t>
      </w:r>
      <w:r w:rsidR="0090071B" w:rsidRPr="0090071B">
        <w:t xml:space="preserve"> </w:t>
      </w:r>
      <w:r w:rsidR="0090071B">
        <w:t>i</w:t>
      </w:r>
      <w:r w:rsidR="0090071B" w:rsidRPr="0090071B">
        <w:t>n Malaysia</w:t>
      </w:r>
      <w:bookmarkEnd w:id="2"/>
      <w:r>
        <w:t xml:space="preserve"> under Development Financial Institution Act 2002</w:t>
      </w:r>
    </w:p>
    <w:p w14:paraId="4BD795BC" w14:textId="1ECE1170" w:rsidR="0090071B" w:rsidRDefault="00E57F84" w:rsidP="00E57F84">
      <w:pPr>
        <w:ind w:firstLine="0"/>
      </w:pPr>
      <w:r>
        <w:t>Currently</w:t>
      </w:r>
      <w:r w:rsidR="00062D7D">
        <w:t>,</w:t>
      </w:r>
      <w:r w:rsidR="009352BE">
        <w:t xml:space="preserve"> there are two DFIs</w:t>
      </w:r>
      <w:r>
        <w:t xml:space="preserve"> listed </w:t>
      </w:r>
      <w:r w:rsidR="009352BE">
        <w:t xml:space="preserve">as Islamic Financial Institution under Section 33B(1)(a) DFIA 2002; Bank Rakyat and </w:t>
      </w:r>
      <w:proofErr w:type="spellStart"/>
      <w:r w:rsidR="009352BE">
        <w:t>Agrobank</w:t>
      </w:r>
      <w:proofErr w:type="spellEnd"/>
      <w:r w:rsidR="009352BE">
        <w:t xml:space="preserve"> followed by four D</w:t>
      </w:r>
      <w:r w:rsidR="00DB6681">
        <w:t>FIs</w:t>
      </w:r>
      <w:r w:rsidR="009352BE">
        <w:t xml:space="preserve"> </w:t>
      </w:r>
      <w:r>
        <w:t xml:space="preserve">on the platform </w:t>
      </w:r>
      <w:r w:rsidR="009352BE">
        <w:t xml:space="preserve">of Section 33B(1)(b) </w:t>
      </w:r>
      <w:r>
        <w:t xml:space="preserve">which are </w:t>
      </w:r>
      <w:r w:rsidR="009352BE">
        <w:t xml:space="preserve">carrying on Islamic banking business in addition to conventional banking </w:t>
      </w:r>
      <w:proofErr w:type="spellStart"/>
      <w:r w:rsidR="009352BE">
        <w:t>business</w:t>
      </w:r>
      <w:r>
        <w:t>s</w:t>
      </w:r>
      <w:proofErr w:type="spellEnd"/>
      <w:r>
        <w:t xml:space="preserve">. </w:t>
      </w:r>
    </w:p>
    <w:p w14:paraId="2FBEE847" w14:textId="77777777" w:rsidR="00DB6681" w:rsidRPr="00DB6681" w:rsidRDefault="00DB6681" w:rsidP="00DB6681">
      <w:r w:rsidRPr="00DB6681">
        <w:t>There is a big gap on the percentage of Islamic Financing and the conventional loan that have yet to be converted to Islamic financing. As at 31</w:t>
      </w:r>
      <w:r w:rsidRPr="00DB6681">
        <w:rPr>
          <w:vertAlign w:val="superscript"/>
        </w:rPr>
        <w:t>st</w:t>
      </w:r>
      <w:r w:rsidRPr="00DB6681">
        <w:t xml:space="preserve"> December 2020, 49.2% of Exim Bank’s financing portfolio comprises Islamic financing compared to 50.8% conventional loan </w:t>
      </w:r>
      <w:proofErr w:type="spellStart"/>
      <w:r w:rsidRPr="00DB6681">
        <w:t>porfolio</w:t>
      </w:r>
      <w:proofErr w:type="spellEnd"/>
      <w:r w:rsidRPr="00DB6681">
        <w:t xml:space="preserve">. In the case of Bank Pembangunan, the milestones achieved in the year 2019, only 68.5% of its financing portfolio comprises Islamic financing (Bank Pembangunan,2019). BSN has received strong interest and support from the government and BNM towards facilitating the growth of Islamic Banking in which BSN had recorded a contribution of 72.3% from Islamic Financing and 65.0% from Islamic Deposits in 2019. </w:t>
      </w:r>
    </w:p>
    <w:p w14:paraId="49E1C748" w14:textId="77777777" w:rsidR="00DB6681" w:rsidRPr="00DB6681" w:rsidRDefault="00DB6681" w:rsidP="00DB6681">
      <w:r w:rsidRPr="00DB6681">
        <w:t xml:space="preserve">This achievement is far behind the SME Bank where the total Islamic financing portfolio of SME Bank has reached 95.9% compared to the remaining conventional loan portfolio at 4.1 % (SME Bank, 2019). The total  assets of SME Bank  grew  in  tandem with  the  profit  before  tax  and  zakat  at  0.4% registering a  total of RM9.87 billion in 2019 compared  to RM9.83  billion  in  the  previous  year. Under SME Bank </w:t>
      </w:r>
      <w:proofErr w:type="spellStart"/>
      <w:r w:rsidRPr="00DB6681">
        <w:t>Tazkiya</w:t>
      </w:r>
      <w:proofErr w:type="spellEnd"/>
      <w:r w:rsidRPr="00DB6681">
        <w:t xml:space="preserve"> Project, the focus of transformation initiated by SME Bank into a full-fledged Islamic Development Bank is not only on the conversion of assets and liabilities but also on adopting a Shariah-compliant culture throughout its business activities (SME Bank,2019). </w:t>
      </w:r>
    </w:p>
    <w:p w14:paraId="3FB6529F" w14:textId="1AFE5D36" w:rsidR="0090071B" w:rsidRDefault="0090071B" w:rsidP="00E57F84">
      <w:pPr>
        <w:ind w:firstLine="0"/>
      </w:pPr>
    </w:p>
    <w:p w14:paraId="718C6B17" w14:textId="3B7EC93F" w:rsidR="0090071B" w:rsidRDefault="0033265D" w:rsidP="0033265D">
      <w:pPr>
        <w:ind w:firstLine="0"/>
      </w:pPr>
      <w:r>
        <w:rPr>
          <w:noProof/>
          <w:lang w:val="en-MY" w:eastAsia="en-MY"/>
        </w:rPr>
        <w:lastRenderedPageBreak/>
        <w:drawing>
          <wp:inline distT="0" distB="0" distL="0" distR="0" wp14:anchorId="1226EAC1" wp14:editId="70B8A7F7">
            <wp:extent cx="3876675" cy="1676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9DC94F" w14:textId="6888FF50" w:rsidR="0090071B" w:rsidRDefault="0090071B" w:rsidP="00174FC9">
      <w:pPr>
        <w:ind w:firstLine="0"/>
        <w:jc w:val="center"/>
        <w:rPr>
          <w:sz w:val="18"/>
          <w:szCs w:val="18"/>
        </w:rPr>
      </w:pPr>
      <w:r w:rsidRPr="0027197E">
        <w:rPr>
          <w:b/>
          <w:bCs/>
          <w:sz w:val="18"/>
          <w:szCs w:val="18"/>
        </w:rPr>
        <w:t>Fig</w:t>
      </w:r>
      <w:r w:rsidR="00062D7D">
        <w:rPr>
          <w:b/>
          <w:bCs/>
          <w:sz w:val="18"/>
          <w:szCs w:val="18"/>
        </w:rPr>
        <w:t>.</w:t>
      </w:r>
      <w:r w:rsidRPr="0027197E">
        <w:rPr>
          <w:b/>
          <w:bCs/>
          <w:sz w:val="18"/>
          <w:szCs w:val="18"/>
        </w:rPr>
        <w:t xml:space="preserve"> 3.</w:t>
      </w:r>
      <w:r w:rsidRPr="0027197E">
        <w:rPr>
          <w:sz w:val="18"/>
          <w:szCs w:val="18"/>
        </w:rPr>
        <w:t xml:space="preserve"> The Total </w:t>
      </w:r>
      <w:r w:rsidR="001821C5">
        <w:rPr>
          <w:sz w:val="18"/>
          <w:szCs w:val="18"/>
        </w:rPr>
        <w:t>Islamic Financing Portfolio of DFI</w:t>
      </w:r>
      <w:r w:rsidR="00F573DC">
        <w:rPr>
          <w:sz w:val="18"/>
          <w:szCs w:val="18"/>
        </w:rPr>
        <w:t xml:space="preserve">s as </w:t>
      </w:r>
      <w:r w:rsidR="001821C5">
        <w:rPr>
          <w:sz w:val="18"/>
          <w:szCs w:val="18"/>
        </w:rPr>
        <w:t xml:space="preserve">compared to </w:t>
      </w:r>
      <w:r w:rsidR="00B31BF3">
        <w:rPr>
          <w:sz w:val="18"/>
          <w:szCs w:val="18"/>
        </w:rPr>
        <w:t xml:space="preserve">the Remaining           </w:t>
      </w:r>
      <w:r w:rsidR="001821C5">
        <w:rPr>
          <w:sz w:val="18"/>
          <w:szCs w:val="18"/>
        </w:rPr>
        <w:t>Conventional Loan</w:t>
      </w:r>
    </w:p>
    <w:p w14:paraId="63138259" w14:textId="69DD0612" w:rsidR="00174FC9" w:rsidRPr="0027197E" w:rsidRDefault="00174FC9" w:rsidP="00174FC9">
      <w:pPr>
        <w:ind w:firstLine="0"/>
        <w:jc w:val="center"/>
        <w:rPr>
          <w:sz w:val="18"/>
          <w:szCs w:val="18"/>
        </w:rPr>
      </w:pPr>
      <w:r w:rsidRPr="00174FC9">
        <w:rPr>
          <w:sz w:val="18"/>
          <w:szCs w:val="18"/>
        </w:rPr>
        <w:t xml:space="preserve">Source: </w:t>
      </w:r>
      <w:r>
        <w:rPr>
          <w:sz w:val="18"/>
          <w:szCs w:val="18"/>
        </w:rPr>
        <w:t xml:space="preserve">Authors’ Selection based on </w:t>
      </w:r>
      <w:r w:rsidRPr="00174FC9">
        <w:rPr>
          <w:sz w:val="18"/>
          <w:szCs w:val="18"/>
        </w:rPr>
        <w:t>Annual Repor</w:t>
      </w:r>
      <w:r>
        <w:rPr>
          <w:sz w:val="18"/>
          <w:szCs w:val="18"/>
        </w:rPr>
        <w:t>t of DFIs</w:t>
      </w:r>
      <w:r w:rsidR="00B31BF3">
        <w:rPr>
          <w:sz w:val="18"/>
          <w:szCs w:val="18"/>
        </w:rPr>
        <w:t xml:space="preserve"> 2019-2020</w:t>
      </w:r>
    </w:p>
    <w:p w14:paraId="475A03D4" w14:textId="77777777" w:rsidR="0090071B" w:rsidRDefault="0090071B" w:rsidP="00E57F84">
      <w:pPr>
        <w:ind w:firstLine="0"/>
      </w:pPr>
    </w:p>
    <w:p w14:paraId="645C7087" w14:textId="1F380041" w:rsidR="0090071B" w:rsidRDefault="00B31BF3" w:rsidP="00E57F84">
      <w:pPr>
        <w:ind w:firstLine="0"/>
      </w:pPr>
      <w:r>
        <w:t>The above four (</w:t>
      </w:r>
      <w:r w:rsidR="001821C5">
        <w:t>4</w:t>
      </w:r>
      <w:r>
        <w:t>)</w:t>
      </w:r>
      <w:r w:rsidR="001821C5">
        <w:t xml:space="preserve"> DFIs</w:t>
      </w:r>
      <w:r w:rsidR="0090071B" w:rsidRPr="0090071B">
        <w:t xml:space="preserve"> are </w:t>
      </w:r>
      <w:r w:rsidR="001821C5">
        <w:t>committed to support Islamic Banking Industry in addition to its existing conventional business</w:t>
      </w:r>
      <w:r>
        <w:t xml:space="preserve">. However, BSN, </w:t>
      </w:r>
      <w:r w:rsidR="001821C5">
        <w:t xml:space="preserve">Bank Pembangunan, Exim Bank and BSN have the big gap on the </w:t>
      </w:r>
      <w:r>
        <w:t xml:space="preserve">remaining </w:t>
      </w:r>
      <w:r w:rsidR="001821C5">
        <w:t xml:space="preserve">conventional loan that have yet to be converted </w:t>
      </w:r>
      <w:r w:rsidR="0033265D">
        <w:t xml:space="preserve"> to Islamic Financing comprise</w:t>
      </w:r>
      <w:r>
        <w:t xml:space="preserve"> </w:t>
      </w:r>
      <w:r w:rsidR="0033265D">
        <w:t>27.2%, 31.5% and 50.8% respectively.</w:t>
      </w:r>
      <w:r w:rsidR="001821C5">
        <w:t xml:space="preserve"> DFIs</w:t>
      </w:r>
      <w:r w:rsidR="0090071B" w:rsidRPr="0090071B">
        <w:t xml:space="preserve"> </w:t>
      </w:r>
      <w:r w:rsidR="0033265D">
        <w:t>may</w:t>
      </w:r>
      <w:r w:rsidR="0090071B" w:rsidRPr="0090071B">
        <w:t xml:space="preserve"> </w:t>
      </w:r>
      <w:r w:rsidR="001821C5">
        <w:t xml:space="preserve">have the </w:t>
      </w:r>
      <w:r>
        <w:t xml:space="preserve">specific </w:t>
      </w:r>
      <w:r w:rsidR="00DB6681">
        <w:t xml:space="preserve">focus and </w:t>
      </w:r>
      <w:r w:rsidR="001821C5">
        <w:t>strategy to achieve its objective</w:t>
      </w:r>
      <w:r w:rsidR="00DB6681">
        <w:t xml:space="preserve"> and target on conversion</w:t>
      </w:r>
      <w:r w:rsidR="00F36AD2">
        <w:t xml:space="preserve">. </w:t>
      </w:r>
    </w:p>
    <w:p w14:paraId="7E6E35BB" w14:textId="77777777" w:rsidR="0090071B" w:rsidRDefault="0090071B" w:rsidP="0090071B">
      <w:pPr>
        <w:ind w:right="95" w:firstLine="720"/>
        <w:rPr>
          <w:szCs w:val="24"/>
          <w:lang w:val="en-MY"/>
        </w:rPr>
      </w:pPr>
    </w:p>
    <w:p w14:paraId="65103D65" w14:textId="7C3842E4" w:rsidR="0090071B" w:rsidRDefault="0090071B" w:rsidP="0027197E">
      <w:pPr>
        <w:spacing w:line="240" w:lineRule="auto"/>
        <w:ind w:right="96"/>
        <w:jc w:val="center"/>
        <w:rPr>
          <w:sz w:val="18"/>
          <w:szCs w:val="18"/>
        </w:rPr>
      </w:pPr>
      <w:bookmarkStart w:id="3" w:name="_Toc50983764"/>
      <w:bookmarkStart w:id="4" w:name="_Hlk85956054"/>
      <w:r w:rsidRPr="0027197E">
        <w:rPr>
          <w:b/>
          <w:bCs/>
          <w:sz w:val="18"/>
          <w:szCs w:val="18"/>
        </w:rPr>
        <w:t xml:space="preserve">Table </w:t>
      </w:r>
      <w:r w:rsidR="009A0A8A">
        <w:rPr>
          <w:b/>
          <w:bCs/>
          <w:sz w:val="18"/>
          <w:szCs w:val="18"/>
        </w:rPr>
        <w:t>4</w:t>
      </w:r>
      <w:r w:rsidR="0027197E" w:rsidRPr="0027197E">
        <w:rPr>
          <w:b/>
          <w:bCs/>
          <w:sz w:val="18"/>
          <w:szCs w:val="18"/>
        </w:rPr>
        <w:t>.</w:t>
      </w:r>
      <w:r w:rsidRPr="0027197E">
        <w:rPr>
          <w:sz w:val="18"/>
          <w:szCs w:val="18"/>
        </w:rPr>
        <w:t xml:space="preserve"> List of </w:t>
      </w:r>
      <w:bookmarkEnd w:id="3"/>
      <w:r w:rsidR="00F573DC">
        <w:rPr>
          <w:sz w:val="18"/>
          <w:szCs w:val="18"/>
        </w:rPr>
        <w:t>DFIs under Section 33B(1)(b)</w:t>
      </w:r>
      <w:r w:rsidR="00DB6681">
        <w:rPr>
          <w:sz w:val="18"/>
          <w:szCs w:val="18"/>
        </w:rPr>
        <w:t xml:space="preserve"> and its Islamic Financing Portfolio as </w:t>
      </w:r>
      <w:proofErr w:type="gramStart"/>
      <w:r w:rsidR="00DB6681">
        <w:rPr>
          <w:sz w:val="18"/>
          <w:szCs w:val="18"/>
        </w:rPr>
        <w:t xml:space="preserve">at </w:t>
      </w:r>
      <w:r w:rsidR="00F36AD2">
        <w:rPr>
          <w:sz w:val="18"/>
          <w:szCs w:val="18"/>
        </w:rPr>
        <w:t xml:space="preserve"> </w:t>
      </w:r>
      <w:r w:rsidR="00DB6681">
        <w:rPr>
          <w:sz w:val="18"/>
          <w:szCs w:val="18"/>
        </w:rPr>
        <w:t>December</w:t>
      </w:r>
      <w:proofErr w:type="gramEnd"/>
      <w:r w:rsidR="00DB6681">
        <w:rPr>
          <w:sz w:val="18"/>
          <w:szCs w:val="18"/>
        </w:rPr>
        <w:t xml:space="preserve"> 2019</w:t>
      </w:r>
    </w:p>
    <w:p w14:paraId="744FB74A" w14:textId="6252F7F9" w:rsidR="00174FC9" w:rsidRDefault="00174FC9" w:rsidP="0027197E">
      <w:pPr>
        <w:spacing w:line="240" w:lineRule="auto"/>
        <w:ind w:right="96"/>
        <w:jc w:val="center"/>
        <w:rPr>
          <w:sz w:val="18"/>
          <w:szCs w:val="18"/>
        </w:rPr>
      </w:pPr>
      <w:r w:rsidRPr="00174FC9">
        <w:rPr>
          <w:sz w:val="18"/>
          <w:szCs w:val="18"/>
        </w:rPr>
        <w:t>Source: Author’s Selection based on Annual Report of DFIs</w:t>
      </w:r>
    </w:p>
    <w:bookmarkEnd w:id="4"/>
    <w:p w14:paraId="3B102C46" w14:textId="77777777" w:rsidR="0090071B" w:rsidRPr="0027197E" w:rsidRDefault="0090071B" w:rsidP="0027197E">
      <w:pPr>
        <w:ind w:firstLine="0"/>
        <w:jc w:val="left"/>
        <w:rPr>
          <w:sz w:val="18"/>
          <w:szCs w:val="18"/>
        </w:rPr>
      </w:pPr>
    </w:p>
    <w:tbl>
      <w:tblPr>
        <w:tblStyle w:val="TableGrid"/>
        <w:tblW w:w="0" w:type="auto"/>
        <w:tblLook w:val="04A0" w:firstRow="1" w:lastRow="0" w:firstColumn="1" w:lastColumn="0" w:noHBand="0" w:noVBand="1"/>
      </w:tblPr>
      <w:tblGrid>
        <w:gridCol w:w="2415"/>
        <w:gridCol w:w="2246"/>
        <w:gridCol w:w="2247"/>
      </w:tblGrid>
      <w:tr w:rsidR="00F573DC" w:rsidRPr="0027197E" w14:paraId="12BC6995" w14:textId="77777777" w:rsidTr="002864DF">
        <w:tc>
          <w:tcPr>
            <w:tcW w:w="2415" w:type="dxa"/>
          </w:tcPr>
          <w:p w14:paraId="767F5870" w14:textId="264E1664" w:rsidR="00F573DC" w:rsidRPr="0027197E" w:rsidRDefault="00F573DC" w:rsidP="0027197E">
            <w:pPr>
              <w:spacing w:line="240" w:lineRule="atLeast"/>
              <w:ind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DFIs under Section 33B(1)(b)</w:t>
            </w:r>
          </w:p>
        </w:tc>
        <w:tc>
          <w:tcPr>
            <w:tcW w:w="2246" w:type="dxa"/>
          </w:tcPr>
          <w:p w14:paraId="2E2FD5E1" w14:textId="3E6A96D2" w:rsidR="00F573DC" w:rsidRPr="0027197E" w:rsidRDefault="00F573DC" w:rsidP="00F573DC">
            <w:pPr>
              <w:ind w:firstLine="0"/>
              <w:jc w:val="center"/>
              <w:rPr>
                <w:sz w:val="18"/>
                <w:szCs w:val="18"/>
              </w:rPr>
            </w:pPr>
            <w:r w:rsidRPr="00F573DC">
              <w:rPr>
                <w:rFonts w:ascii="Times New Roman" w:eastAsia="Times New Roman" w:hAnsi="Times New Roman" w:cs="Times New Roman"/>
                <w:sz w:val="18"/>
                <w:szCs w:val="18"/>
              </w:rPr>
              <w:t xml:space="preserve">Islamic Financing </w:t>
            </w:r>
            <w:r>
              <w:rPr>
                <w:rFonts w:ascii="Times New Roman" w:eastAsia="Times New Roman" w:hAnsi="Times New Roman" w:cs="Times New Roman"/>
                <w:sz w:val="18"/>
                <w:szCs w:val="18"/>
              </w:rPr>
              <w:t xml:space="preserve">         </w:t>
            </w:r>
            <w:r w:rsidRPr="00F573DC">
              <w:rPr>
                <w:rFonts w:ascii="Times New Roman" w:eastAsia="Times New Roman" w:hAnsi="Times New Roman" w:cs="Times New Roman"/>
                <w:sz w:val="18"/>
                <w:szCs w:val="18"/>
              </w:rPr>
              <w:t>Portfolio in 2019</w:t>
            </w:r>
          </w:p>
        </w:tc>
        <w:tc>
          <w:tcPr>
            <w:tcW w:w="2247" w:type="dxa"/>
          </w:tcPr>
          <w:p w14:paraId="0E70A6D1" w14:textId="6EC60995" w:rsidR="00F573DC" w:rsidRPr="0027197E" w:rsidRDefault="00F573DC" w:rsidP="00F573DC">
            <w:pPr>
              <w:spacing w:line="240" w:lineRule="atLeast"/>
              <w:ind w:firstLine="0"/>
              <w:jc w:val="center"/>
              <w:rPr>
                <w:rFonts w:ascii="Times New Roman" w:eastAsia="Times New Roman" w:hAnsi="Times New Roman" w:cs="Times New Roman"/>
                <w:sz w:val="18"/>
                <w:szCs w:val="18"/>
              </w:rPr>
            </w:pPr>
            <w:r w:rsidRPr="00F573DC">
              <w:rPr>
                <w:rFonts w:ascii="Times New Roman" w:eastAsia="Times New Roman" w:hAnsi="Times New Roman" w:cs="Times New Roman"/>
                <w:sz w:val="18"/>
                <w:szCs w:val="18"/>
              </w:rPr>
              <w:t>Conventional Loan</w:t>
            </w:r>
            <w:r>
              <w:rPr>
                <w:rFonts w:ascii="Times New Roman" w:eastAsia="Times New Roman" w:hAnsi="Times New Roman" w:cs="Times New Roman"/>
                <w:sz w:val="18"/>
                <w:szCs w:val="18"/>
              </w:rPr>
              <w:t xml:space="preserve">        Portfolio in 2019</w:t>
            </w:r>
          </w:p>
        </w:tc>
      </w:tr>
      <w:tr w:rsidR="00F573DC" w:rsidRPr="0027197E" w14:paraId="4012D45C" w14:textId="77777777" w:rsidTr="002864DF">
        <w:tc>
          <w:tcPr>
            <w:tcW w:w="2415" w:type="dxa"/>
          </w:tcPr>
          <w:p w14:paraId="612B41CF" w14:textId="1D665A8F" w:rsidR="00F573DC" w:rsidRPr="0027197E" w:rsidRDefault="00F573DC" w:rsidP="0027197E">
            <w:pPr>
              <w:spacing w:line="240" w:lineRule="atLeast"/>
              <w:ind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SME Bank</w:t>
            </w:r>
          </w:p>
        </w:tc>
        <w:tc>
          <w:tcPr>
            <w:tcW w:w="2246" w:type="dxa"/>
          </w:tcPr>
          <w:p w14:paraId="5018DCB5" w14:textId="00DEB06E" w:rsidR="00F573DC" w:rsidRPr="0027197E" w:rsidRDefault="00F573DC" w:rsidP="00F573DC">
            <w:pPr>
              <w:ind w:firstLine="0"/>
              <w:jc w:val="center"/>
              <w:rPr>
                <w:sz w:val="18"/>
                <w:szCs w:val="18"/>
              </w:rPr>
            </w:pPr>
            <w:r>
              <w:rPr>
                <w:sz w:val="18"/>
                <w:szCs w:val="18"/>
              </w:rPr>
              <w:t>95.9%</w:t>
            </w:r>
          </w:p>
        </w:tc>
        <w:tc>
          <w:tcPr>
            <w:tcW w:w="2247" w:type="dxa"/>
          </w:tcPr>
          <w:p w14:paraId="7DBFBF17" w14:textId="1FC17ECC" w:rsidR="00F573DC" w:rsidRPr="0027197E" w:rsidRDefault="00F573DC" w:rsidP="00F573DC">
            <w:pPr>
              <w:spacing w:line="240" w:lineRule="atLeast"/>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w:t>
            </w:r>
          </w:p>
        </w:tc>
      </w:tr>
      <w:tr w:rsidR="00F573DC" w:rsidRPr="0027197E" w14:paraId="7A0F5741" w14:textId="77777777" w:rsidTr="002864DF">
        <w:tc>
          <w:tcPr>
            <w:tcW w:w="2415" w:type="dxa"/>
          </w:tcPr>
          <w:p w14:paraId="2D69A2C4" w14:textId="655AEA9D" w:rsidR="00F573DC" w:rsidRPr="0027197E" w:rsidRDefault="00F573DC" w:rsidP="0027197E">
            <w:pPr>
              <w:spacing w:line="240" w:lineRule="atLeast"/>
              <w:ind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BSN</w:t>
            </w:r>
          </w:p>
        </w:tc>
        <w:tc>
          <w:tcPr>
            <w:tcW w:w="2246" w:type="dxa"/>
          </w:tcPr>
          <w:p w14:paraId="78312D9C" w14:textId="4EE22286" w:rsidR="00F573DC" w:rsidRPr="0027197E" w:rsidRDefault="00F573DC" w:rsidP="00F573DC">
            <w:pPr>
              <w:ind w:firstLine="0"/>
              <w:jc w:val="center"/>
              <w:rPr>
                <w:sz w:val="18"/>
                <w:szCs w:val="18"/>
              </w:rPr>
            </w:pPr>
            <w:r>
              <w:rPr>
                <w:sz w:val="18"/>
                <w:szCs w:val="18"/>
              </w:rPr>
              <w:t>72.3%</w:t>
            </w:r>
          </w:p>
        </w:tc>
        <w:tc>
          <w:tcPr>
            <w:tcW w:w="2247" w:type="dxa"/>
          </w:tcPr>
          <w:p w14:paraId="7E400BBD" w14:textId="1CA42A60" w:rsidR="00F573DC" w:rsidRPr="0027197E" w:rsidRDefault="00F573DC" w:rsidP="00F573DC">
            <w:pPr>
              <w:spacing w:line="240" w:lineRule="atLeast"/>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27.7%</w:t>
            </w:r>
          </w:p>
        </w:tc>
      </w:tr>
      <w:tr w:rsidR="00F573DC" w:rsidRPr="0027197E" w14:paraId="458F0370" w14:textId="77777777" w:rsidTr="002864DF">
        <w:tc>
          <w:tcPr>
            <w:tcW w:w="2415" w:type="dxa"/>
          </w:tcPr>
          <w:p w14:paraId="399353B9" w14:textId="799C045D" w:rsidR="00F573DC" w:rsidRPr="0027197E" w:rsidRDefault="00F573DC" w:rsidP="0027197E">
            <w:pPr>
              <w:spacing w:line="240" w:lineRule="atLeast"/>
              <w:ind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Bank Pembangunan</w:t>
            </w:r>
          </w:p>
        </w:tc>
        <w:tc>
          <w:tcPr>
            <w:tcW w:w="2246" w:type="dxa"/>
          </w:tcPr>
          <w:p w14:paraId="350540C7" w14:textId="4EF60DD3" w:rsidR="00F573DC" w:rsidRPr="0027197E" w:rsidRDefault="00F573DC" w:rsidP="00F573DC">
            <w:pPr>
              <w:ind w:firstLine="0"/>
              <w:jc w:val="center"/>
              <w:rPr>
                <w:sz w:val="18"/>
                <w:szCs w:val="18"/>
              </w:rPr>
            </w:pPr>
            <w:r>
              <w:rPr>
                <w:sz w:val="18"/>
                <w:szCs w:val="18"/>
              </w:rPr>
              <w:t>68.5%</w:t>
            </w:r>
          </w:p>
        </w:tc>
        <w:tc>
          <w:tcPr>
            <w:tcW w:w="2247" w:type="dxa"/>
          </w:tcPr>
          <w:p w14:paraId="21B55BC9" w14:textId="24159E4F" w:rsidR="00F573DC" w:rsidRPr="0027197E" w:rsidRDefault="00F573DC" w:rsidP="00F573DC">
            <w:pPr>
              <w:spacing w:line="240" w:lineRule="atLeast"/>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31.5%</w:t>
            </w:r>
          </w:p>
        </w:tc>
      </w:tr>
      <w:tr w:rsidR="00F573DC" w:rsidRPr="0027197E" w14:paraId="77D9C6EE" w14:textId="77777777" w:rsidTr="002864DF">
        <w:tc>
          <w:tcPr>
            <w:tcW w:w="2415" w:type="dxa"/>
          </w:tcPr>
          <w:p w14:paraId="1A83BC3A" w14:textId="7BC78FB6" w:rsidR="00F573DC" w:rsidRPr="0027197E" w:rsidRDefault="00F573DC" w:rsidP="0027197E">
            <w:pPr>
              <w:spacing w:line="240" w:lineRule="atLeast"/>
              <w:ind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Exim Bank</w:t>
            </w:r>
          </w:p>
        </w:tc>
        <w:tc>
          <w:tcPr>
            <w:tcW w:w="2246" w:type="dxa"/>
          </w:tcPr>
          <w:p w14:paraId="0E20A2D1" w14:textId="1D6CC89C" w:rsidR="00F573DC" w:rsidRPr="0027197E" w:rsidRDefault="00DB6681" w:rsidP="00F573DC">
            <w:pPr>
              <w:ind w:firstLine="0"/>
              <w:jc w:val="center"/>
              <w:rPr>
                <w:sz w:val="18"/>
                <w:szCs w:val="18"/>
              </w:rPr>
            </w:pPr>
            <w:r>
              <w:rPr>
                <w:sz w:val="18"/>
                <w:szCs w:val="18"/>
              </w:rPr>
              <w:t>49.2%</w:t>
            </w:r>
          </w:p>
        </w:tc>
        <w:tc>
          <w:tcPr>
            <w:tcW w:w="2247" w:type="dxa"/>
          </w:tcPr>
          <w:p w14:paraId="4AD8BD0F" w14:textId="7464CD68" w:rsidR="00F573DC" w:rsidRPr="0027197E" w:rsidRDefault="00DB6681" w:rsidP="00F573DC">
            <w:pPr>
              <w:spacing w:line="240" w:lineRule="atLeast"/>
              <w:ind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50.8%</w:t>
            </w:r>
          </w:p>
        </w:tc>
      </w:tr>
    </w:tbl>
    <w:p w14:paraId="5A2D6B7A" w14:textId="77777777" w:rsidR="0090071B" w:rsidRDefault="0090071B" w:rsidP="0090071B">
      <w:pPr>
        <w:ind w:firstLine="0"/>
      </w:pPr>
    </w:p>
    <w:p w14:paraId="1E15622C" w14:textId="77777777" w:rsidR="00DB6681" w:rsidRDefault="00DB6681" w:rsidP="006867CF">
      <w:r w:rsidRPr="00DB6681">
        <w:t xml:space="preserve">In order to achieve the long term objective, Exim Bank reaffirm its commitment to be a  preferred DFI for Malaysian businesses growth with  focus  on  Islamic  Financing  and Takaful by the year 2025 (Exim Bank,2020). </w:t>
      </w:r>
    </w:p>
    <w:p w14:paraId="5AF57FE9" w14:textId="4F9D070B" w:rsidR="006867CF" w:rsidRDefault="00DB6681" w:rsidP="00DB6681">
      <w:r>
        <w:t>SME Bank</w:t>
      </w:r>
      <w:r w:rsidR="006867CF">
        <w:t xml:space="preserve"> still have</w:t>
      </w:r>
      <w:r>
        <w:t xml:space="preserve"> 4.1% conventional loan portfolio to fulfill</w:t>
      </w:r>
      <w:r w:rsidR="006867CF">
        <w:t xml:space="preserve"> its main objectives </w:t>
      </w:r>
      <w:r>
        <w:t xml:space="preserve">on conversion and </w:t>
      </w:r>
      <w:r w:rsidR="006867CF">
        <w:t>to provide be</w:t>
      </w:r>
      <w:r>
        <w:t xml:space="preserve">tter framework for </w:t>
      </w:r>
      <w:proofErr w:type="spellStart"/>
      <w:r>
        <w:t>full fledged</w:t>
      </w:r>
      <w:proofErr w:type="spellEnd"/>
      <w:r>
        <w:t xml:space="preserve"> Islamic Financial Institution</w:t>
      </w:r>
      <w:r w:rsidR="006867CF">
        <w:t xml:space="preserve">. </w:t>
      </w:r>
      <w:r w:rsidR="00F32152">
        <w:t>However, t</w:t>
      </w:r>
      <w:r w:rsidR="00F32152" w:rsidRPr="004C4B93">
        <w:t>he interview confirmed that the word “entire” in Section 33B(1)(a) is very general as to connote</w:t>
      </w:r>
      <w:r w:rsidR="00F32152">
        <w:t xml:space="preserve"> the 100% </w:t>
      </w:r>
      <w:r w:rsidR="00F32152" w:rsidRPr="004C4B93">
        <w:t xml:space="preserve">percentage of Islamic </w:t>
      </w:r>
      <w:r w:rsidR="00F32152">
        <w:t>Financing</w:t>
      </w:r>
      <w:r w:rsidR="00F32152" w:rsidRPr="004C4B93">
        <w:t xml:space="preserve"> Portfolio required to be achieved by </w:t>
      </w:r>
      <w:r w:rsidR="00F32152">
        <w:t xml:space="preserve">SME Bank and other </w:t>
      </w:r>
      <w:r w:rsidR="00F32152" w:rsidRPr="004C4B93">
        <w:t>DFIs.</w:t>
      </w:r>
    </w:p>
    <w:p w14:paraId="165AFD13" w14:textId="67A9E251" w:rsidR="004A0928" w:rsidRPr="00DB6681" w:rsidRDefault="004A0928" w:rsidP="004A0928">
      <w:r w:rsidRPr="00DB6681">
        <w:t>Based on the previous research, legislation and regulation is one of the challenges towards conversion due to non-existence of comprehensive framework for the conversion (</w:t>
      </w:r>
      <w:proofErr w:type="spellStart"/>
      <w:r w:rsidRPr="00DB6681">
        <w:t>Shafii</w:t>
      </w:r>
      <w:proofErr w:type="spellEnd"/>
      <w:r w:rsidRPr="00DB6681">
        <w:t xml:space="preserve">, </w:t>
      </w:r>
      <w:proofErr w:type="spellStart"/>
      <w:r w:rsidRPr="00DB6681">
        <w:t>Shahimi</w:t>
      </w:r>
      <w:proofErr w:type="spellEnd"/>
      <w:r w:rsidRPr="00DB6681">
        <w:t xml:space="preserve"> &amp; </w:t>
      </w:r>
      <w:proofErr w:type="spellStart"/>
      <w:r w:rsidRPr="00DB6681">
        <w:t>Saaid</w:t>
      </w:r>
      <w:proofErr w:type="spellEnd"/>
      <w:r w:rsidRPr="00DB6681">
        <w:t>, 2016). The supervisory authorities are faced with considerable regulatory issues and challenges that needs to be address to facilitate the Islamic banking industry (</w:t>
      </w:r>
      <w:proofErr w:type="spellStart"/>
      <w:r w:rsidRPr="00DB6681">
        <w:t>Rafay</w:t>
      </w:r>
      <w:proofErr w:type="spellEnd"/>
      <w:r w:rsidRPr="00DB6681">
        <w:t xml:space="preserve"> &amp; Sadiq, 2015). </w:t>
      </w:r>
      <w:r w:rsidR="00FC07CC">
        <w:t>A</w:t>
      </w:r>
      <w:r w:rsidR="00FC07CC" w:rsidRPr="00FC07CC">
        <w:t xml:space="preserve"> strategic plan for conversion </w:t>
      </w:r>
      <w:r w:rsidR="00FC07CC">
        <w:t xml:space="preserve">must </w:t>
      </w:r>
      <w:proofErr w:type="spellStart"/>
      <w:r w:rsidR="00FC07CC" w:rsidRPr="00FC07CC">
        <w:lastRenderedPageBreak/>
        <w:t>includes</w:t>
      </w:r>
      <w:proofErr w:type="spellEnd"/>
      <w:r w:rsidR="00FC07CC" w:rsidRPr="00FC07CC">
        <w:t xml:space="preserve"> timeline, legal approval from regulatory authorities, management commitment and customers’ </w:t>
      </w:r>
      <w:r w:rsidR="00FC07CC">
        <w:t>participation</w:t>
      </w:r>
      <w:r w:rsidR="00FC07CC" w:rsidRPr="00FC07CC">
        <w:t xml:space="preserve"> (Ahmad, 2020).</w:t>
      </w:r>
    </w:p>
    <w:p w14:paraId="0099093E" w14:textId="77777777" w:rsidR="006867CF" w:rsidRDefault="006867CF" w:rsidP="00E57F84"/>
    <w:p w14:paraId="63138CED" w14:textId="4458A258" w:rsidR="006867CF" w:rsidRPr="006867CF" w:rsidRDefault="006867CF" w:rsidP="006867CF">
      <w:pPr>
        <w:pStyle w:val="heading2"/>
        <w:spacing w:before="0"/>
      </w:pPr>
      <w:bookmarkStart w:id="5" w:name="_Toc49646286"/>
      <w:bookmarkStart w:id="6" w:name="_Hlk52361624"/>
      <w:r w:rsidRPr="006867CF">
        <w:t xml:space="preserve">Issues </w:t>
      </w:r>
      <w:r>
        <w:t>a</w:t>
      </w:r>
      <w:r w:rsidRPr="006867CF">
        <w:t>nd Challenges</w:t>
      </w:r>
      <w:r>
        <w:t xml:space="preserve"> t</w:t>
      </w:r>
      <w:r w:rsidRPr="006867CF">
        <w:t xml:space="preserve">o </w:t>
      </w:r>
      <w:bookmarkEnd w:id="5"/>
      <w:r w:rsidR="00D4603C">
        <w:t>Expedite the Conversion</w:t>
      </w:r>
    </w:p>
    <w:bookmarkEnd w:id="6"/>
    <w:p w14:paraId="5F70D486" w14:textId="329DC184" w:rsidR="00B353F2" w:rsidRDefault="00E57F84" w:rsidP="00B353F2">
      <w:pPr>
        <w:ind w:firstLine="0"/>
        <w:rPr>
          <w:szCs w:val="24"/>
        </w:rPr>
      </w:pPr>
      <w:r>
        <w:t>There are issues and challenges faced by</w:t>
      </w:r>
      <w:r w:rsidR="00D4603C">
        <w:t xml:space="preserve"> DFIs on conversion</w:t>
      </w:r>
      <w:r>
        <w:t xml:space="preserve">. </w:t>
      </w:r>
      <w:r w:rsidR="00F82E4D">
        <w:t>T</w:t>
      </w:r>
      <w:r w:rsidR="00B353F2" w:rsidRPr="00B353F2">
        <w:t xml:space="preserve">he main challenges is the </w:t>
      </w:r>
      <w:r w:rsidR="00D4603C">
        <w:t>statutory requirement of law to obt</w:t>
      </w:r>
      <w:r w:rsidR="00B353F2" w:rsidRPr="00B353F2">
        <w:t>a</w:t>
      </w:r>
      <w:r w:rsidR="00D4603C">
        <w:t xml:space="preserve">in approval from </w:t>
      </w:r>
      <w:r w:rsidR="00414D47">
        <w:t>BNM</w:t>
      </w:r>
      <w:r w:rsidR="00D4603C">
        <w:t>.</w:t>
      </w:r>
      <w:r w:rsidR="00B353F2">
        <w:t xml:space="preserve"> </w:t>
      </w:r>
      <w:r w:rsidR="00D4603C">
        <w:t xml:space="preserve">It is observed that SME Bank is very closed to 100% conversion as 95.9% of its portfolio comprises from Islamic financing. Even though the gap of 4.1% on conventional loan portfolio is very small to be converted to Islamic financing, the approval of BNM has to be obtained prior to announcement as Islamic Banks. </w:t>
      </w:r>
      <w:r w:rsidR="00C0521A">
        <w:rPr>
          <w:szCs w:val="24"/>
        </w:rPr>
        <w:t xml:space="preserve">In 2017, State Bank of Pakistan issued Guidelines for Conversion of a Conventional Bank into an Islamic Bank with requirement that the bank would complete the conversion process within a maximum period of three years from the date of approval subject to extension of time (Pakistan 2017). </w:t>
      </w:r>
      <w:r w:rsidR="00C0521A">
        <w:t>However, currently there is no specific guidelines issued by BNM to support the conversion of DFIs to Islamic DFIs.</w:t>
      </w:r>
    </w:p>
    <w:p w14:paraId="7592A224" w14:textId="01349991" w:rsidR="00B353F2" w:rsidRDefault="00B353F2" w:rsidP="00F82E4D">
      <w:pPr>
        <w:ind w:firstLine="0"/>
        <w:rPr>
          <w:szCs w:val="24"/>
        </w:rPr>
      </w:pPr>
      <w:r>
        <w:rPr>
          <w:szCs w:val="24"/>
        </w:rPr>
        <w:tab/>
      </w:r>
      <w:r w:rsidR="00FC07CC">
        <w:rPr>
          <w:szCs w:val="24"/>
        </w:rPr>
        <w:t>The second challenge is on</w:t>
      </w:r>
      <w:r w:rsidR="00DF0FE6">
        <w:rPr>
          <w:szCs w:val="24"/>
        </w:rPr>
        <w:t xml:space="preserve"> change</w:t>
      </w:r>
      <w:r w:rsidR="00FC07CC">
        <w:rPr>
          <w:szCs w:val="24"/>
        </w:rPr>
        <w:t>s</w:t>
      </w:r>
      <w:r w:rsidR="00DF0FE6">
        <w:rPr>
          <w:szCs w:val="24"/>
        </w:rPr>
        <w:t xml:space="preserve"> of law. </w:t>
      </w:r>
      <w:r w:rsidRPr="00202322">
        <w:rPr>
          <w:szCs w:val="24"/>
        </w:rPr>
        <w:t xml:space="preserve">Bank Rakyat </w:t>
      </w:r>
      <w:r w:rsidR="00DF0FE6">
        <w:rPr>
          <w:szCs w:val="24"/>
        </w:rPr>
        <w:t>was</w:t>
      </w:r>
      <w:r w:rsidRPr="00202322">
        <w:rPr>
          <w:szCs w:val="24"/>
        </w:rPr>
        <w:t xml:space="preserve"> benefited</w:t>
      </w:r>
      <w:r w:rsidR="00B535E1">
        <w:rPr>
          <w:szCs w:val="24"/>
        </w:rPr>
        <w:t xml:space="preserve"> from the conversion</w:t>
      </w:r>
      <w:r w:rsidRPr="00202322">
        <w:rPr>
          <w:szCs w:val="24"/>
        </w:rPr>
        <w:t xml:space="preserve"> </w:t>
      </w:r>
      <w:r w:rsidR="00B535E1">
        <w:rPr>
          <w:szCs w:val="24"/>
        </w:rPr>
        <w:t xml:space="preserve">prior to enactment of DFIA 2002 </w:t>
      </w:r>
      <w:r w:rsidRPr="00202322">
        <w:rPr>
          <w:szCs w:val="24"/>
        </w:rPr>
        <w:t>through</w:t>
      </w:r>
      <w:r>
        <w:rPr>
          <w:szCs w:val="24"/>
        </w:rPr>
        <w:t xml:space="preserve"> </w:t>
      </w:r>
      <w:r w:rsidR="00B535E1">
        <w:rPr>
          <w:szCs w:val="24"/>
        </w:rPr>
        <w:t xml:space="preserve">the establishment of Islamic branch that completed in 2002. </w:t>
      </w:r>
      <w:r>
        <w:rPr>
          <w:szCs w:val="24"/>
        </w:rPr>
        <w:t xml:space="preserve">When </w:t>
      </w:r>
      <w:r w:rsidR="00B535E1">
        <w:rPr>
          <w:szCs w:val="24"/>
        </w:rPr>
        <w:t xml:space="preserve">DFIA 2002 enacted and came into effect on 15 January 2002, Section 129 </w:t>
      </w:r>
      <w:r w:rsidR="00235799">
        <w:rPr>
          <w:szCs w:val="24"/>
        </w:rPr>
        <w:t xml:space="preserve">regulates the Islamic Banking activity of DFIs. </w:t>
      </w:r>
      <w:r w:rsidR="00DF0FE6">
        <w:rPr>
          <w:szCs w:val="24"/>
        </w:rPr>
        <w:t xml:space="preserve">It has to be observed that the conversion of </w:t>
      </w:r>
      <w:proofErr w:type="spellStart"/>
      <w:r w:rsidR="00DF0FE6">
        <w:rPr>
          <w:szCs w:val="24"/>
        </w:rPr>
        <w:t>Agrobank</w:t>
      </w:r>
      <w:proofErr w:type="spellEnd"/>
      <w:r w:rsidR="00DF0FE6">
        <w:rPr>
          <w:szCs w:val="24"/>
        </w:rPr>
        <w:t xml:space="preserve"> to </w:t>
      </w:r>
      <w:proofErr w:type="spellStart"/>
      <w:r w:rsidR="00DF0FE6">
        <w:rPr>
          <w:szCs w:val="24"/>
        </w:rPr>
        <w:t>full fledged</w:t>
      </w:r>
      <w:proofErr w:type="spellEnd"/>
      <w:r w:rsidR="00DF0FE6">
        <w:rPr>
          <w:szCs w:val="24"/>
        </w:rPr>
        <w:t xml:space="preserve"> Islamic Bank was done under the ambit of Section 129 DFIA 2002 which is before the major amendments DFIA </w:t>
      </w:r>
      <w:r w:rsidR="00024F9B">
        <w:rPr>
          <w:szCs w:val="24"/>
        </w:rPr>
        <w:t xml:space="preserve">effective </w:t>
      </w:r>
      <w:r w:rsidR="00DF0FE6">
        <w:rPr>
          <w:szCs w:val="24"/>
        </w:rPr>
        <w:t xml:space="preserve">in 2016. </w:t>
      </w:r>
      <w:r w:rsidR="00E96EBD">
        <w:rPr>
          <w:szCs w:val="24"/>
        </w:rPr>
        <w:t xml:space="preserve">Therefore, after </w:t>
      </w:r>
      <w:proofErr w:type="spellStart"/>
      <w:r w:rsidR="00E96EBD">
        <w:rPr>
          <w:szCs w:val="24"/>
        </w:rPr>
        <w:t>Agrobank</w:t>
      </w:r>
      <w:proofErr w:type="spellEnd"/>
      <w:r w:rsidRPr="00B353F2">
        <w:rPr>
          <w:szCs w:val="24"/>
        </w:rPr>
        <w:t xml:space="preserve"> has successfully </w:t>
      </w:r>
      <w:r w:rsidR="00E96EBD">
        <w:rPr>
          <w:szCs w:val="24"/>
        </w:rPr>
        <w:t>converted to Islamic DFIs in 2015,</w:t>
      </w:r>
      <w:r w:rsidR="00D60F85">
        <w:rPr>
          <w:szCs w:val="24"/>
        </w:rPr>
        <w:t xml:space="preserve"> the amendment took effect and</w:t>
      </w:r>
      <w:r w:rsidR="00E96EBD">
        <w:rPr>
          <w:szCs w:val="24"/>
        </w:rPr>
        <w:t xml:space="preserve"> the remaining four (4) DFIs</w:t>
      </w:r>
      <w:r w:rsidR="00F82E4D">
        <w:rPr>
          <w:szCs w:val="24"/>
        </w:rPr>
        <w:t>; Bank Pembangunan, BSN, Exim Bank and SME Bank</w:t>
      </w:r>
      <w:r w:rsidR="00E96EBD">
        <w:rPr>
          <w:szCs w:val="24"/>
        </w:rPr>
        <w:t xml:space="preserve"> </w:t>
      </w:r>
      <w:r w:rsidR="00024F9B">
        <w:rPr>
          <w:szCs w:val="24"/>
        </w:rPr>
        <w:t xml:space="preserve">shall be subject to </w:t>
      </w:r>
      <w:r w:rsidR="00E96EBD">
        <w:rPr>
          <w:szCs w:val="24"/>
        </w:rPr>
        <w:t>Section 33B(1)(b) DFIA 2002</w:t>
      </w:r>
      <w:r w:rsidR="00F82E4D">
        <w:rPr>
          <w:szCs w:val="24"/>
        </w:rPr>
        <w:t xml:space="preserve">, while Bank Rakyat and </w:t>
      </w:r>
      <w:proofErr w:type="spellStart"/>
      <w:r w:rsidR="00F82E4D">
        <w:rPr>
          <w:szCs w:val="24"/>
        </w:rPr>
        <w:t>Agrobank</w:t>
      </w:r>
      <w:proofErr w:type="spellEnd"/>
      <w:r w:rsidR="00F82E4D">
        <w:rPr>
          <w:szCs w:val="24"/>
        </w:rPr>
        <w:t xml:space="preserve"> fall under the ambit of Section 33B(1)(a) DFIA 2002.</w:t>
      </w:r>
      <w:r w:rsidR="00E96EBD">
        <w:rPr>
          <w:szCs w:val="24"/>
        </w:rPr>
        <w:t xml:space="preserve"> </w:t>
      </w:r>
    </w:p>
    <w:p w14:paraId="1A38D183" w14:textId="4DF37134" w:rsidR="00B353F2" w:rsidRDefault="00B353F2" w:rsidP="0079212E">
      <w:r>
        <w:rPr>
          <w:szCs w:val="24"/>
        </w:rPr>
        <w:tab/>
      </w:r>
      <w:r w:rsidR="00F82E4D">
        <w:rPr>
          <w:szCs w:val="24"/>
        </w:rPr>
        <w:t>T</w:t>
      </w:r>
      <w:r>
        <w:rPr>
          <w:szCs w:val="24"/>
        </w:rPr>
        <w:t xml:space="preserve">he </w:t>
      </w:r>
      <w:r w:rsidR="00F82E4D">
        <w:rPr>
          <w:szCs w:val="24"/>
        </w:rPr>
        <w:t>third challenge</w:t>
      </w:r>
      <w:r>
        <w:rPr>
          <w:szCs w:val="24"/>
        </w:rPr>
        <w:t xml:space="preserve"> is to </w:t>
      </w:r>
      <w:r w:rsidR="00235799">
        <w:rPr>
          <w:szCs w:val="24"/>
        </w:rPr>
        <w:t>convert entirely the</w:t>
      </w:r>
      <w:r w:rsidR="00F82E4D">
        <w:rPr>
          <w:szCs w:val="24"/>
        </w:rPr>
        <w:t xml:space="preserve"> remaining</w:t>
      </w:r>
      <w:r w:rsidR="00235799">
        <w:rPr>
          <w:szCs w:val="24"/>
        </w:rPr>
        <w:t xml:space="preserve"> conventional loan </w:t>
      </w:r>
      <w:r w:rsidR="00F82E4D">
        <w:rPr>
          <w:szCs w:val="24"/>
        </w:rPr>
        <w:t xml:space="preserve">assets </w:t>
      </w:r>
      <w:r w:rsidR="00235799">
        <w:rPr>
          <w:szCs w:val="24"/>
        </w:rPr>
        <w:t>to Islamic Financing</w:t>
      </w:r>
      <w:r>
        <w:rPr>
          <w:szCs w:val="24"/>
        </w:rPr>
        <w:t xml:space="preserve">. </w:t>
      </w:r>
      <w:r w:rsidR="00235799">
        <w:t xml:space="preserve">SME Bank, Exim Bank, Bank Pembangunan and BSN </w:t>
      </w:r>
      <w:r w:rsidR="00627E8C">
        <w:t xml:space="preserve">have </w:t>
      </w:r>
      <w:r w:rsidR="0079212E">
        <w:rPr>
          <w:szCs w:val="24"/>
        </w:rPr>
        <w:t>to meet the requirement of law and conditions of BNM</w:t>
      </w:r>
      <w:r w:rsidR="0033400E">
        <w:rPr>
          <w:szCs w:val="24"/>
        </w:rPr>
        <w:t xml:space="preserve"> to convert </w:t>
      </w:r>
      <w:r w:rsidR="00541ADA">
        <w:rPr>
          <w:szCs w:val="24"/>
        </w:rPr>
        <w:t xml:space="preserve">100% </w:t>
      </w:r>
      <w:r w:rsidR="0033400E">
        <w:rPr>
          <w:szCs w:val="24"/>
        </w:rPr>
        <w:t>entire business and activities according to Shariah</w:t>
      </w:r>
      <w:r w:rsidR="0079212E">
        <w:rPr>
          <w:szCs w:val="24"/>
        </w:rPr>
        <w:t xml:space="preserve">. </w:t>
      </w:r>
      <w:r w:rsidR="0079212E">
        <w:t xml:space="preserve">This study finds that </w:t>
      </w:r>
      <w:r w:rsidR="0079212E" w:rsidRPr="00AC76FF">
        <w:t xml:space="preserve">at the </w:t>
      </w:r>
      <w:r w:rsidR="0079212E">
        <w:t xml:space="preserve">announcement </w:t>
      </w:r>
      <w:r w:rsidR="0079212E" w:rsidRPr="00AC76FF">
        <w:t>date of conversion</w:t>
      </w:r>
      <w:r w:rsidR="0079212E">
        <w:t xml:space="preserve"> of </w:t>
      </w:r>
      <w:proofErr w:type="spellStart"/>
      <w:r w:rsidR="0079212E">
        <w:t>Agrobank</w:t>
      </w:r>
      <w:proofErr w:type="spellEnd"/>
      <w:r w:rsidR="0079212E">
        <w:t xml:space="preserve"> into Islamic DFI in July 2015</w:t>
      </w:r>
      <w:r w:rsidR="0079212E" w:rsidRPr="00AC76FF">
        <w:t xml:space="preserve">, the remaining conventional loan assets amounting to RM59.2 million were permitted to be treated as Non-Shariah Assets where its income has to be recorded as liability and to be </w:t>
      </w:r>
      <w:proofErr w:type="spellStart"/>
      <w:r w:rsidR="0079212E" w:rsidRPr="00AC76FF">
        <w:t>cha</w:t>
      </w:r>
      <w:r w:rsidR="0079212E">
        <w:t>n</w:t>
      </w:r>
      <w:r w:rsidR="0079212E" w:rsidRPr="00AC76FF">
        <w:t>nelled</w:t>
      </w:r>
      <w:proofErr w:type="spellEnd"/>
      <w:r w:rsidR="0079212E" w:rsidRPr="00AC76FF">
        <w:t xml:space="preserve"> to charity</w:t>
      </w:r>
      <w:r w:rsidR="00D14436">
        <w:t xml:space="preserve"> (</w:t>
      </w:r>
      <w:proofErr w:type="spellStart"/>
      <w:r w:rsidR="00D14436">
        <w:t>Agrobank</w:t>
      </w:r>
      <w:proofErr w:type="spellEnd"/>
      <w:r w:rsidR="00D14436">
        <w:t xml:space="preserve">, 2015). </w:t>
      </w:r>
      <w:r w:rsidR="0079212E">
        <w:t xml:space="preserve">After 6 years of conversion of </w:t>
      </w:r>
      <w:proofErr w:type="spellStart"/>
      <w:r w:rsidR="0079212E">
        <w:t>Agrobank</w:t>
      </w:r>
      <w:proofErr w:type="spellEnd"/>
      <w:r w:rsidR="0079212E">
        <w:t xml:space="preserve">, there are remaining conventional loan assets amounting to RM6,364,000 as at financial year end December 2020 which were reflected as Non Shariah Asset in the financial statements of </w:t>
      </w:r>
      <w:proofErr w:type="spellStart"/>
      <w:r w:rsidR="0079212E">
        <w:t>Agrobank</w:t>
      </w:r>
      <w:bookmarkStart w:id="7" w:name="_Hlk85955050"/>
      <w:proofErr w:type="spellEnd"/>
      <w:r w:rsidR="00D14436">
        <w:t xml:space="preserve"> (</w:t>
      </w:r>
      <w:proofErr w:type="spellStart"/>
      <w:r w:rsidR="00D14436">
        <w:t>Agrobank</w:t>
      </w:r>
      <w:proofErr w:type="spellEnd"/>
      <w:r w:rsidR="00D14436">
        <w:t xml:space="preserve">, 2020). </w:t>
      </w:r>
      <w:r w:rsidR="0079212E">
        <w:t>The income earned from conventional loan and Non-</w:t>
      </w:r>
      <w:proofErr w:type="spellStart"/>
      <w:r w:rsidR="0079212E">
        <w:t>Shahriah</w:t>
      </w:r>
      <w:proofErr w:type="spellEnd"/>
      <w:r w:rsidR="0079212E">
        <w:t xml:space="preserve"> assets are treated as liabilities in line with Shariah requirements of giving it away as charitable amount.</w:t>
      </w:r>
    </w:p>
    <w:p w14:paraId="60E6872A" w14:textId="352A8BD7" w:rsidR="00627E8C" w:rsidRDefault="00627E8C" w:rsidP="0079212E"/>
    <w:p w14:paraId="79BF6848" w14:textId="77777777" w:rsidR="00FA3BCF" w:rsidRDefault="00FA3BCF" w:rsidP="0079212E"/>
    <w:p w14:paraId="74DDC344" w14:textId="4930C465" w:rsidR="00627E8C" w:rsidRPr="00627E8C" w:rsidRDefault="00627E8C" w:rsidP="00627E8C">
      <w:pPr>
        <w:jc w:val="center"/>
        <w:rPr>
          <w:sz w:val="18"/>
          <w:szCs w:val="18"/>
        </w:rPr>
      </w:pPr>
      <w:r w:rsidRPr="00627E8C">
        <w:rPr>
          <w:b/>
          <w:bCs/>
          <w:sz w:val="18"/>
          <w:szCs w:val="18"/>
        </w:rPr>
        <w:t xml:space="preserve">Table </w:t>
      </w:r>
      <w:r w:rsidR="009A0A8A">
        <w:rPr>
          <w:b/>
          <w:bCs/>
          <w:sz w:val="18"/>
          <w:szCs w:val="18"/>
        </w:rPr>
        <w:t>5</w:t>
      </w:r>
      <w:r w:rsidRPr="00627E8C">
        <w:rPr>
          <w:b/>
          <w:bCs/>
          <w:sz w:val="18"/>
          <w:szCs w:val="18"/>
        </w:rPr>
        <w:t>.</w:t>
      </w:r>
      <w:r w:rsidRPr="00627E8C">
        <w:rPr>
          <w:sz w:val="18"/>
          <w:szCs w:val="18"/>
        </w:rPr>
        <w:t xml:space="preserve"> Non-Shariah Assets of </w:t>
      </w:r>
      <w:proofErr w:type="spellStart"/>
      <w:r w:rsidRPr="00627E8C">
        <w:rPr>
          <w:sz w:val="18"/>
          <w:szCs w:val="18"/>
        </w:rPr>
        <w:t>Agrobank</w:t>
      </w:r>
      <w:proofErr w:type="spellEnd"/>
      <w:r w:rsidRPr="00627E8C">
        <w:rPr>
          <w:sz w:val="18"/>
          <w:szCs w:val="18"/>
        </w:rPr>
        <w:t xml:space="preserve"> after Conversion to </w:t>
      </w:r>
      <w:proofErr w:type="spellStart"/>
      <w:r w:rsidRPr="00627E8C">
        <w:rPr>
          <w:sz w:val="18"/>
          <w:szCs w:val="18"/>
        </w:rPr>
        <w:t>Islamics</w:t>
      </w:r>
      <w:proofErr w:type="spellEnd"/>
      <w:r w:rsidRPr="00627E8C">
        <w:rPr>
          <w:sz w:val="18"/>
          <w:szCs w:val="18"/>
        </w:rPr>
        <w:t xml:space="preserve"> DFIs</w:t>
      </w:r>
    </w:p>
    <w:p w14:paraId="7A990641" w14:textId="7F271272" w:rsidR="00627E8C" w:rsidRPr="00627E8C" w:rsidRDefault="00627E8C" w:rsidP="00627E8C">
      <w:pPr>
        <w:jc w:val="center"/>
        <w:rPr>
          <w:sz w:val="18"/>
          <w:szCs w:val="18"/>
        </w:rPr>
      </w:pPr>
      <w:r w:rsidRPr="00627E8C">
        <w:rPr>
          <w:sz w:val="18"/>
          <w:szCs w:val="18"/>
        </w:rPr>
        <w:t xml:space="preserve">Source: Author’s Selection based on Annual Report and Financial Statements of </w:t>
      </w:r>
      <w:proofErr w:type="spellStart"/>
      <w:r w:rsidRPr="00627E8C">
        <w:rPr>
          <w:sz w:val="18"/>
          <w:szCs w:val="18"/>
        </w:rPr>
        <w:t>Agrobank</w:t>
      </w:r>
      <w:proofErr w:type="spellEnd"/>
      <w:r w:rsidRPr="00627E8C">
        <w:rPr>
          <w:sz w:val="18"/>
          <w:szCs w:val="18"/>
        </w:rPr>
        <w:t xml:space="preserve"> </w:t>
      </w:r>
    </w:p>
    <w:p w14:paraId="3C43961D" w14:textId="77777777" w:rsidR="00627E8C" w:rsidRDefault="00627E8C" w:rsidP="0079212E"/>
    <w:tbl>
      <w:tblPr>
        <w:tblStyle w:val="TableGrid"/>
        <w:tblW w:w="6941" w:type="dxa"/>
        <w:tblLook w:val="04A0" w:firstRow="1" w:lastRow="0" w:firstColumn="1" w:lastColumn="0" w:noHBand="0" w:noVBand="1"/>
      </w:tblPr>
      <w:tblGrid>
        <w:gridCol w:w="1129"/>
        <w:gridCol w:w="1134"/>
        <w:gridCol w:w="1134"/>
        <w:gridCol w:w="1134"/>
        <w:gridCol w:w="1134"/>
        <w:gridCol w:w="1276"/>
      </w:tblGrid>
      <w:tr w:rsidR="00627E8C" w:rsidRPr="00336240" w14:paraId="2CA84D64" w14:textId="77777777" w:rsidTr="00627E8C">
        <w:trPr>
          <w:trHeight w:val="181"/>
        </w:trPr>
        <w:tc>
          <w:tcPr>
            <w:tcW w:w="1129" w:type="dxa"/>
          </w:tcPr>
          <w:p w14:paraId="0E776C0E" w14:textId="40D5E348"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lastRenderedPageBreak/>
              <w:t>2020</w:t>
            </w:r>
            <w:r w:rsidR="00205D01">
              <w:rPr>
                <w:rFonts w:ascii="Times New Roman" w:hAnsi="Times New Roman" w:cs="Times New Roman"/>
                <w:sz w:val="18"/>
                <w:szCs w:val="18"/>
              </w:rPr>
              <w:t xml:space="preserve"> </w:t>
            </w:r>
          </w:p>
        </w:tc>
        <w:tc>
          <w:tcPr>
            <w:tcW w:w="1134" w:type="dxa"/>
          </w:tcPr>
          <w:p w14:paraId="16791886" w14:textId="003D9D70"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2019</w:t>
            </w:r>
            <w:r w:rsidR="00205D01">
              <w:rPr>
                <w:rFonts w:ascii="Times New Roman" w:hAnsi="Times New Roman" w:cs="Times New Roman"/>
                <w:sz w:val="18"/>
                <w:szCs w:val="18"/>
              </w:rPr>
              <w:t xml:space="preserve"> </w:t>
            </w:r>
          </w:p>
        </w:tc>
        <w:tc>
          <w:tcPr>
            <w:tcW w:w="1134" w:type="dxa"/>
          </w:tcPr>
          <w:p w14:paraId="3EAE9270" w14:textId="39313D63"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2018</w:t>
            </w:r>
          </w:p>
        </w:tc>
        <w:tc>
          <w:tcPr>
            <w:tcW w:w="1134" w:type="dxa"/>
          </w:tcPr>
          <w:p w14:paraId="4A34B0A6" w14:textId="622411F3"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2017</w:t>
            </w:r>
          </w:p>
        </w:tc>
        <w:tc>
          <w:tcPr>
            <w:tcW w:w="1134" w:type="dxa"/>
          </w:tcPr>
          <w:p w14:paraId="6269A19A" w14:textId="728BE5DA"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2016</w:t>
            </w:r>
          </w:p>
        </w:tc>
        <w:tc>
          <w:tcPr>
            <w:tcW w:w="1276" w:type="dxa"/>
          </w:tcPr>
          <w:p w14:paraId="09696DDC" w14:textId="41713F40"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2015</w:t>
            </w:r>
          </w:p>
        </w:tc>
      </w:tr>
      <w:tr w:rsidR="00627E8C" w:rsidRPr="00627E8C" w14:paraId="0EF4EFD7" w14:textId="77777777" w:rsidTr="00627E8C">
        <w:trPr>
          <w:trHeight w:val="172"/>
        </w:trPr>
        <w:tc>
          <w:tcPr>
            <w:tcW w:w="6941" w:type="dxa"/>
            <w:gridSpan w:val="6"/>
          </w:tcPr>
          <w:p w14:paraId="1A677B61" w14:textId="49A478C8" w:rsidR="00627E8C" w:rsidRPr="00627E8C" w:rsidRDefault="00627E8C" w:rsidP="00627E8C">
            <w:pPr>
              <w:ind w:firstLine="0"/>
              <w:jc w:val="center"/>
              <w:rPr>
                <w:rFonts w:ascii="Times New Roman" w:hAnsi="Times New Roman" w:cs="Times New Roman"/>
                <w:sz w:val="20"/>
                <w:szCs w:val="20"/>
              </w:rPr>
            </w:pPr>
            <w:r w:rsidRPr="00627E8C">
              <w:rPr>
                <w:rFonts w:ascii="Times New Roman" w:hAnsi="Times New Roman" w:cs="Times New Roman"/>
                <w:sz w:val="20"/>
                <w:szCs w:val="20"/>
              </w:rPr>
              <w:t>Non-Shariah Asset</w:t>
            </w:r>
            <w:r w:rsidR="00205D01">
              <w:rPr>
                <w:rFonts w:ascii="Times New Roman" w:hAnsi="Times New Roman" w:cs="Times New Roman"/>
                <w:sz w:val="20"/>
                <w:szCs w:val="20"/>
              </w:rPr>
              <w:t xml:space="preserve"> (NSA)</w:t>
            </w:r>
          </w:p>
        </w:tc>
      </w:tr>
      <w:tr w:rsidR="00627E8C" w:rsidRPr="00627E8C" w14:paraId="0A959051" w14:textId="77777777" w:rsidTr="00627E8C">
        <w:trPr>
          <w:trHeight w:val="247"/>
        </w:trPr>
        <w:tc>
          <w:tcPr>
            <w:tcW w:w="1129" w:type="dxa"/>
          </w:tcPr>
          <w:p w14:paraId="578D31D7" w14:textId="77777777"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6,364,000</w:t>
            </w:r>
          </w:p>
        </w:tc>
        <w:tc>
          <w:tcPr>
            <w:tcW w:w="1134" w:type="dxa"/>
          </w:tcPr>
          <w:p w14:paraId="5EBDD9EC" w14:textId="77777777"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11,914,000</w:t>
            </w:r>
          </w:p>
        </w:tc>
        <w:tc>
          <w:tcPr>
            <w:tcW w:w="1134" w:type="dxa"/>
          </w:tcPr>
          <w:p w14:paraId="345E2440" w14:textId="77777777"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17,027,000</w:t>
            </w:r>
          </w:p>
        </w:tc>
        <w:tc>
          <w:tcPr>
            <w:tcW w:w="1134" w:type="dxa"/>
          </w:tcPr>
          <w:p w14:paraId="1AA18C36" w14:textId="77777777"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60,596,000</w:t>
            </w:r>
          </w:p>
        </w:tc>
        <w:tc>
          <w:tcPr>
            <w:tcW w:w="1134" w:type="dxa"/>
          </w:tcPr>
          <w:p w14:paraId="428CA8BE" w14:textId="77777777"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84,934,000</w:t>
            </w:r>
          </w:p>
        </w:tc>
        <w:tc>
          <w:tcPr>
            <w:tcW w:w="1276" w:type="dxa"/>
          </w:tcPr>
          <w:p w14:paraId="2932528C" w14:textId="77777777"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116,269,000</w:t>
            </w:r>
          </w:p>
        </w:tc>
      </w:tr>
      <w:tr w:rsidR="00627E8C" w:rsidRPr="00627E8C" w14:paraId="1FABB23C" w14:textId="77777777" w:rsidTr="00627E8C">
        <w:trPr>
          <w:trHeight w:val="267"/>
        </w:trPr>
        <w:tc>
          <w:tcPr>
            <w:tcW w:w="6941" w:type="dxa"/>
            <w:gridSpan w:val="6"/>
          </w:tcPr>
          <w:p w14:paraId="1B8385AB" w14:textId="046E8301" w:rsidR="00627E8C" w:rsidRPr="00627E8C" w:rsidRDefault="00627E8C" w:rsidP="00627E8C">
            <w:pPr>
              <w:ind w:firstLine="0"/>
              <w:jc w:val="center"/>
              <w:rPr>
                <w:rFonts w:ascii="Times New Roman" w:hAnsi="Times New Roman" w:cs="Times New Roman"/>
                <w:sz w:val="20"/>
                <w:szCs w:val="20"/>
              </w:rPr>
            </w:pPr>
            <w:r w:rsidRPr="00627E8C">
              <w:rPr>
                <w:rFonts w:ascii="Times New Roman" w:hAnsi="Times New Roman" w:cs="Times New Roman"/>
                <w:sz w:val="20"/>
                <w:szCs w:val="20"/>
              </w:rPr>
              <w:t xml:space="preserve">Income earned </w:t>
            </w:r>
            <w:r w:rsidR="00205D01">
              <w:rPr>
                <w:rFonts w:ascii="Times New Roman" w:hAnsi="Times New Roman" w:cs="Times New Roman"/>
                <w:sz w:val="20"/>
                <w:szCs w:val="20"/>
              </w:rPr>
              <w:t xml:space="preserve">from Non-Shariah Asset and </w:t>
            </w:r>
            <w:proofErr w:type="spellStart"/>
            <w:r w:rsidRPr="00627E8C">
              <w:rPr>
                <w:rFonts w:ascii="Times New Roman" w:hAnsi="Times New Roman" w:cs="Times New Roman"/>
                <w:sz w:val="20"/>
                <w:szCs w:val="20"/>
              </w:rPr>
              <w:t>channelled</w:t>
            </w:r>
            <w:proofErr w:type="spellEnd"/>
            <w:r w:rsidRPr="00627E8C">
              <w:rPr>
                <w:rFonts w:ascii="Times New Roman" w:hAnsi="Times New Roman" w:cs="Times New Roman"/>
                <w:sz w:val="20"/>
                <w:szCs w:val="20"/>
              </w:rPr>
              <w:t xml:space="preserve"> to charities</w:t>
            </w:r>
          </w:p>
        </w:tc>
      </w:tr>
      <w:tr w:rsidR="00627E8C" w:rsidRPr="00336240" w14:paraId="0FAC38D1" w14:textId="77777777" w:rsidTr="00627E8C">
        <w:trPr>
          <w:trHeight w:val="344"/>
        </w:trPr>
        <w:tc>
          <w:tcPr>
            <w:tcW w:w="1129" w:type="dxa"/>
          </w:tcPr>
          <w:p w14:paraId="4D35E369" w14:textId="77777777"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2,337,261</w:t>
            </w:r>
          </w:p>
        </w:tc>
        <w:tc>
          <w:tcPr>
            <w:tcW w:w="1134" w:type="dxa"/>
          </w:tcPr>
          <w:p w14:paraId="2762062B" w14:textId="77777777"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4,214,125</w:t>
            </w:r>
          </w:p>
        </w:tc>
        <w:tc>
          <w:tcPr>
            <w:tcW w:w="1134" w:type="dxa"/>
          </w:tcPr>
          <w:p w14:paraId="0E6326B0" w14:textId="652D068A"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2,604,674</w:t>
            </w:r>
          </w:p>
        </w:tc>
        <w:tc>
          <w:tcPr>
            <w:tcW w:w="1134" w:type="dxa"/>
          </w:tcPr>
          <w:p w14:paraId="1CF37D99" w14:textId="77777777"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2,441,812</w:t>
            </w:r>
          </w:p>
        </w:tc>
        <w:tc>
          <w:tcPr>
            <w:tcW w:w="1134" w:type="dxa"/>
          </w:tcPr>
          <w:p w14:paraId="44261599" w14:textId="77777777"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2,186,177</w:t>
            </w:r>
          </w:p>
        </w:tc>
        <w:tc>
          <w:tcPr>
            <w:tcW w:w="1276" w:type="dxa"/>
          </w:tcPr>
          <w:p w14:paraId="04175F35" w14:textId="77777777" w:rsidR="00627E8C" w:rsidRPr="00336240" w:rsidRDefault="00627E8C" w:rsidP="00627E8C">
            <w:pPr>
              <w:spacing w:line="240" w:lineRule="atLeast"/>
              <w:ind w:firstLine="0"/>
              <w:jc w:val="center"/>
              <w:rPr>
                <w:rFonts w:ascii="Times New Roman" w:hAnsi="Times New Roman" w:cs="Times New Roman"/>
                <w:sz w:val="18"/>
                <w:szCs w:val="18"/>
              </w:rPr>
            </w:pPr>
            <w:r w:rsidRPr="00336240">
              <w:rPr>
                <w:rFonts w:ascii="Times New Roman" w:hAnsi="Times New Roman" w:cs="Times New Roman"/>
                <w:sz w:val="18"/>
                <w:szCs w:val="18"/>
              </w:rPr>
              <w:t>437,930</w:t>
            </w:r>
          </w:p>
        </w:tc>
      </w:tr>
    </w:tbl>
    <w:p w14:paraId="0B786D28" w14:textId="04F92D0B" w:rsidR="00336240" w:rsidRDefault="00336240" w:rsidP="00336240">
      <w:pPr>
        <w:ind w:firstLine="0"/>
      </w:pPr>
    </w:p>
    <w:bookmarkEnd w:id="7"/>
    <w:p w14:paraId="3F65E285" w14:textId="5557C348" w:rsidR="002E062F" w:rsidRDefault="00B353F2" w:rsidP="00E57F84">
      <w:pPr>
        <w:ind w:firstLine="0"/>
      </w:pPr>
      <w:r>
        <w:tab/>
      </w:r>
      <w:r w:rsidR="00F82E4D">
        <w:t>The fourth</w:t>
      </w:r>
      <w:r w:rsidRPr="00B353F2">
        <w:t xml:space="preserve"> challenge is the lack of</w:t>
      </w:r>
      <w:r w:rsidR="00235799">
        <w:t xml:space="preserve"> participation from </w:t>
      </w:r>
      <w:r w:rsidR="00A80AEF">
        <w:t xml:space="preserve">high risk </w:t>
      </w:r>
      <w:r w:rsidR="00235799">
        <w:t>Customer</w:t>
      </w:r>
      <w:r w:rsidR="00A80AEF">
        <w:t xml:space="preserve"> </w:t>
      </w:r>
      <w:r w:rsidR="00AF3822">
        <w:t>involved in sectoral business agriculture, construction, import-export which the risk exposure is very high.</w:t>
      </w:r>
      <w:r w:rsidRPr="00B353F2">
        <w:t xml:space="preserve"> </w:t>
      </w:r>
      <w:r w:rsidR="00F82E4D">
        <w:rPr>
          <w:szCs w:val="24"/>
        </w:rPr>
        <w:t xml:space="preserve">The possible reason for this current situation is that the cooperation of the </w:t>
      </w:r>
      <w:r w:rsidR="00A80AEF">
        <w:rPr>
          <w:szCs w:val="24"/>
        </w:rPr>
        <w:t xml:space="preserve">corporate </w:t>
      </w:r>
      <w:r w:rsidR="00F82E4D">
        <w:rPr>
          <w:szCs w:val="24"/>
        </w:rPr>
        <w:t xml:space="preserve">customer </w:t>
      </w:r>
      <w:r w:rsidR="00A80AEF">
        <w:rPr>
          <w:szCs w:val="24"/>
        </w:rPr>
        <w:t xml:space="preserve">is important to do complex documentation for the purpose of conversion of </w:t>
      </w:r>
      <w:r w:rsidR="00F82E4D">
        <w:rPr>
          <w:szCs w:val="24"/>
        </w:rPr>
        <w:t>corporate loan.</w:t>
      </w:r>
      <w:r w:rsidR="00F82E4D">
        <w:t xml:space="preserve"> </w:t>
      </w:r>
      <w:r w:rsidRPr="00B353F2">
        <w:t xml:space="preserve">On the other hand, the </w:t>
      </w:r>
      <w:r w:rsidR="00AF3822">
        <w:t xml:space="preserve">cost and the </w:t>
      </w:r>
      <w:r w:rsidRPr="00B353F2">
        <w:t xml:space="preserve">fees </w:t>
      </w:r>
      <w:r w:rsidR="00AF3822">
        <w:t>is not attractive. If it can</w:t>
      </w:r>
      <w:r w:rsidRPr="00B353F2">
        <w:t xml:space="preserve">not be said that the costs to </w:t>
      </w:r>
      <w:r w:rsidR="00AF3822">
        <w:t xml:space="preserve">conversion </w:t>
      </w:r>
      <w:r w:rsidRPr="00B353F2">
        <w:t xml:space="preserve">is high </w:t>
      </w:r>
      <w:r w:rsidR="00AF3822">
        <w:t>and then it falls back to the need and motivation of the customer for conversion</w:t>
      </w:r>
      <w:r w:rsidRPr="00B353F2">
        <w:t xml:space="preserve">. </w:t>
      </w:r>
    </w:p>
    <w:p w14:paraId="1CD10CE6" w14:textId="472DFB23" w:rsidR="00E57F84" w:rsidRDefault="00B353F2" w:rsidP="00E61D32">
      <w:r w:rsidRPr="00B353F2">
        <w:t xml:space="preserve">The </w:t>
      </w:r>
      <w:r w:rsidR="00F82E4D">
        <w:t xml:space="preserve">fifth </w:t>
      </w:r>
      <w:r w:rsidRPr="00B353F2">
        <w:t xml:space="preserve">challenge lies </w:t>
      </w:r>
      <w:r w:rsidR="00235799">
        <w:t>in attracting</w:t>
      </w:r>
      <w:r w:rsidR="00F82E4D">
        <w:t xml:space="preserve"> the remaining</w:t>
      </w:r>
      <w:r w:rsidR="00235799">
        <w:t xml:space="preserve"> </w:t>
      </w:r>
      <w:r w:rsidR="00F82E4D">
        <w:t xml:space="preserve">conventional </w:t>
      </w:r>
      <w:r w:rsidR="00235799">
        <w:t>customer</w:t>
      </w:r>
      <w:r w:rsidRPr="00B353F2">
        <w:t xml:space="preserve"> to participate in </w:t>
      </w:r>
      <w:r w:rsidR="00235799">
        <w:t>conversion</w:t>
      </w:r>
      <w:r w:rsidRPr="00B353F2">
        <w:t xml:space="preserve"> scheme. There are some </w:t>
      </w:r>
      <w:r w:rsidR="00235799">
        <w:t>attractive promotion to the customer for example conversion scheme, free moving cost</w:t>
      </w:r>
      <w:r w:rsidRPr="00B353F2">
        <w:t xml:space="preserve">, media exposure and fund support from </w:t>
      </w:r>
      <w:r w:rsidR="00235799">
        <w:t xml:space="preserve">DFIs </w:t>
      </w:r>
      <w:r w:rsidRPr="00B353F2">
        <w:t xml:space="preserve">during </w:t>
      </w:r>
      <w:r w:rsidR="00062D7D">
        <w:t xml:space="preserve">the </w:t>
      </w:r>
      <w:r w:rsidRPr="00B353F2">
        <w:t xml:space="preserve">campaign period. </w:t>
      </w:r>
    </w:p>
    <w:p w14:paraId="5F5FBB13" w14:textId="60640069" w:rsidR="00E57F84" w:rsidRDefault="00E57F84" w:rsidP="00E57F84">
      <w:pPr>
        <w:pStyle w:val="heading1"/>
      </w:pPr>
      <w:r w:rsidRPr="00E57F84">
        <w:t>Conclusi</w:t>
      </w:r>
      <w:r>
        <w:t xml:space="preserve">on  </w:t>
      </w:r>
    </w:p>
    <w:p w14:paraId="12198B14" w14:textId="77777777" w:rsidR="00F36AD2" w:rsidRDefault="00B0166B" w:rsidP="00E57F84">
      <w:pPr>
        <w:ind w:firstLine="0"/>
      </w:pPr>
      <w:r>
        <w:t>Development Financial Institutions in Malaysia are aiming</w:t>
      </w:r>
      <w:r w:rsidR="00E57F84">
        <w:t xml:space="preserve"> towards </w:t>
      </w:r>
      <w:r w:rsidR="00E61D32">
        <w:t>conversion to</w:t>
      </w:r>
      <w:r>
        <w:t xml:space="preserve"> Islamic </w:t>
      </w:r>
      <w:r w:rsidR="00E61D32">
        <w:t>DFIs</w:t>
      </w:r>
      <w:r>
        <w:t xml:space="preserve"> to support the growth of Islamic Banking industry. </w:t>
      </w:r>
      <w:r w:rsidR="00F36AD2" w:rsidRPr="00F36AD2">
        <w:t>B</w:t>
      </w:r>
      <w:r w:rsidR="00F36AD2">
        <w:t>ank Pembangunan was aimed</w:t>
      </w:r>
      <w:r w:rsidR="00F36AD2" w:rsidRPr="00F36AD2">
        <w:t xml:space="preserve"> to become a full-fledged Islamic bank by 2020</w:t>
      </w:r>
      <w:r w:rsidR="00F36AD2">
        <w:t xml:space="preserve"> (Bank Pembangunan,2019)</w:t>
      </w:r>
      <w:r w:rsidR="00F36AD2" w:rsidRPr="00F36AD2">
        <w:t xml:space="preserve">. </w:t>
      </w:r>
      <w:r w:rsidR="00F36AD2">
        <w:t xml:space="preserve">Exim Bank has the </w:t>
      </w:r>
      <w:proofErr w:type="gramStart"/>
      <w:r w:rsidR="00F36AD2">
        <w:t>long term</w:t>
      </w:r>
      <w:proofErr w:type="gramEnd"/>
      <w:r w:rsidR="00F36AD2">
        <w:t xml:space="preserve"> objective to become Islamic DFIs by the year 2025 (Exim Bank,2020). SME Bank’s Islamic Financing Portfolio has reached 95.9% at the end of 2019 (SME Bank,2019). While BSN has strong support from government and BNM towards Islamic Banking Industry as 72.3% comprises Islamic Financing portfolio (BSN,2019). </w:t>
      </w:r>
    </w:p>
    <w:p w14:paraId="1D536A9F" w14:textId="098E2AC9" w:rsidR="0027197E" w:rsidRDefault="00414D47" w:rsidP="00F36AD2">
      <w:r>
        <w:t>BNM</w:t>
      </w:r>
      <w:r w:rsidR="00AF431A">
        <w:t xml:space="preserve"> as a regulatory body has strengthened its legal and regulatory framework through the amendment</w:t>
      </w:r>
      <w:r w:rsidR="00E61D32">
        <w:t>s</w:t>
      </w:r>
      <w:r w:rsidR="00E57F84">
        <w:t xml:space="preserve"> of </w:t>
      </w:r>
      <w:r w:rsidR="00AF431A">
        <w:t>DFIA 2002</w:t>
      </w:r>
      <w:r w:rsidR="00E57F84">
        <w:t xml:space="preserve"> </w:t>
      </w:r>
      <w:r w:rsidR="00AF431A">
        <w:t>by inserting new provision</w:t>
      </w:r>
      <w:r w:rsidR="00B862A5">
        <w:t xml:space="preserve"> of law </w:t>
      </w:r>
      <w:r w:rsidR="00FE08EF">
        <w:t xml:space="preserve">under Section 33B(3) DFIA 2002 that </w:t>
      </w:r>
      <w:r w:rsidR="00136F78">
        <w:t xml:space="preserve">prohibit </w:t>
      </w:r>
      <w:r w:rsidR="00FE08EF">
        <w:t xml:space="preserve">conversion of a DFI under Section 33B(1)(b) DFIA 2002 to </w:t>
      </w:r>
      <w:r w:rsidR="00136F78">
        <w:t xml:space="preserve">Islamic DFI under </w:t>
      </w:r>
      <w:r w:rsidR="00FE08EF">
        <w:t>Section 33B(1)(a)</w:t>
      </w:r>
      <w:r w:rsidR="00136F78">
        <w:t xml:space="preserve"> without</w:t>
      </w:r>
      <w:r w:rsidR="00FE08EF">
        <w:t xml:space="preserve"> approval of BNM.</w:t>
      </w:r>
      <w:r w:rsidR="00AF431A">
        <w:t xml:space="preserve"> </w:t>
      </w:r>
      <w:r w:rsidR="00B862A5">
        <w:t>Contravention of Section 33B(1) or (3)</w:t>
      </w:r>
      <w:r w:rsidR="00AF431A">
        <w:t xml:space="preserve"> is tantamount to criminal offence under Section 33B(4) </w:t>
      </w:r>
      <w:r w:rsidR="00B862A5" w:rsidRPr="00395ED5">
        <w:t>and shall on conviction be liable to imprisonment for a term not exceeding ten years or to a fine not exceeding fifty million ringgit or to both.</w:t>
      </w:r>
      <w:r w:rsidR="00AF431A">
        <w:t xml:space="preserve"> </w:t>
      </w:r>
    </w:p>
    <w:p w14:paraId="7698B692" w14:textId="3720081D" w:rsidR="00E57F84" w:rsidRDefault="00E57F84" w:rsidP="00B862A5">
      <w:r>
        <w:t xml:space="preserve">There are currently six </w:t>
      </w:r>
      <w:r w:rsidR="00B862A5">
        <w:t xml:space="preserve">DFIs </w:t>
      </w:r>
      <w:proofErr w:type="spellStart"/>
      <w:r w:rsidR="00B862A5">
        <w:t>gazetted</w:t>
      </w:r>
      <w:proofErr w:type="spellEnd"/>
      <w:r w:rsidR="00B862A5">
        <w:t xml:space="preserve"> as prescribed institution under DFIA 2002 and regulated by BNM.</w:t>
      </w:r>
      <w:r w:rsidR="00136F78">
        <w:t xml:space="preserve"> At the effective date of amendment on 31</w:t>
      </w:r>
      <w:r w:rsidR="00136F78" w:rsidRPr="00136F78">
        <w:rPr>
          <w:vertAlign w:val="superscript"/>
        </w:rPr>
        <w:t>st</w:t>
      </w:r>
      <w:r w:rsidR="00136F78">
        <w:t xml:space="preserve"> January 2016, Bank Rakyat and </w:t>
      </w:r>
      <w:proofErr w:type="spellStart"/>
      <w:r w:rsidR="00136F78">
        <w:t>Agrobank</w:t>
      </w:r>
      <w:proofErr w:type="spellEnd"/>
      <w:r w:rsidR="00136F78">
        <w:t xml:space="preserve"> are the only two DFIs recognized as Islamic DFIs under Section 33B(1)(a) </w:t>
      </w:r>
      <w:r w:rsidR="00B862A5">
        <w:t xml:space="preserve">. </w:t>
      </w:r>
      <w:r w:rsidR="003352C8">
        <w:t>T</w:t>
      </w:r>
      <w:r w:rsidR="00B862A5" w:rsidRPr="00B862A5">
        <w:t xml:space="preserve">he other four (4) DFIs remain carrying on  Islamic Banking Business </w:t>
      </w:r>
      <w:r w:rsidR="00C3117F">
        <w:t>as Islamic Banking Window</w:t>
      </w:r>
      <w:r w:rsidR="00B862A5" w:rsidRPr="00B862A5">
        <w:t xml:space="preserve"> in  addition  to  its  existing  conventional business under Section 33B</w:t>
      </w:r>
      <w:r w:rsidR="003352C8">
        <w:t>(1)</w:t>
      </w:r>
      <w:r w:rsidR="00B862A5" w:rsidRPr="00B862A5">
        <w:t xml:space="preserve">(b) DFIA 2002. The study finds </w:t>
      </w:r>
      <w:r w:rsidR="005504E0">
        <w:t>after the year 2</w:t>
      </w:r>
      <w:r w:rsidR="00AC76FF">
        <w:t xml:space="preserve">019, </w:t>
      </w:r>
      <w:r w:rsidR="00B862A5" w:rsidRPr="00B862A5">
        <w:t xml:space="preserve">SME Bank, </w:t>
      </w:r>
      <w:r w:rsidR="005504E0">
        <w:t xml:space="preserve">BSN, </w:t>
      </w:r>
      <w:r w:rsidR="00B862A5" w:rsidRPr="00B862A5">
        <w:t xml:space="preserve">Bank Pembangunan </w:t>
      </w:r>
      <w:r w:rsidR="005504E0">
        <w:t xml:space="preserve">and </w:t>
      </w:r>
      <w:r w:rsidR="00B862A5" w:rsidRPr="00B862A5">
        <w:t>Exim Bank</w:t>
      </w:r>
      <w:r w:rsidR="005504E0">
        <w:t xml:space="preserve"> </w:t>
      </w:r>
      <w:r w:rsidR="00B862A5" w:rsidRPr="00B862A5">
        <w:t>have</w:t>
      </w:r>
      <w:r w:rsidR="00AC76FF">
        <w:t xml:space="preserve"> strong</w:t>
      </w:r>
      <w:r w:rsidR="005504E0">
        <w:t xml:space="preserve"> Islamic Financing portfolio comprise 95.9%, 72.3%, 68.5 and 49.2% respectively towards conversion</w:t>
      </w:r>
      <w:r w:rsidR="00AC76FF">
        <w:t xml:space="preserve">. This shows that DFIs </w:t>
      </w:r>
      <w:r w:rsidR="00AC76FF">
        <w:lastRenderedPageBreak/>
        <w:t>have strong commitment</w:t>
      </w:r>
      <w:r w:rsidR="005504E0">
        <w:t xml:space="preserve"> to</w:t>
      </w:r>
      <w:r w:rsidR="00B862A5" w:rsidRPr="00B862A5">
        <w:t xml:space="preserve"> reach its objective to convert its entire business activities in accordance with Shariah</w:t>
      </w:r>
      <w:r w:rsidR="00AC76FF">
        <w:t xml:space="preserve"> under Section 33B(1)(a) DFIA 2002.</w:t>
      </w:r>
      <w:r w:rsidR="00B862A5" w:rsidRPr="00B862A5">
        <w:t xml:space="preserve"> </w:t>
      </w:r>
    </w:p>
    <w:p w14:paraId="65F2CB2E" w14:textId="58653D0B" w:rsidR="00E57F84" w:rsidRDefault="003352C8" w:rsidP="00E57F84">
      <w:pPr>
        <w:ind w:firstLine="0"/>
      </w:pPr>
      <w:r>
        <w:tab/>
      </w:r>
      <w:r w:rsidR="00A6765B">
        <w:t>One of the main challenge</w:t>
      </w:r>
      <w:r w:rsidR="00AC76FF">
        <w:t>s</w:t>
      </w:r>
      <w:r w:rsidR="00E004DE">
        <w:t xml:space="preserve"> </w:t>
      </w:r>
      <w:r w:rsidR="00E57F84">
        <w:t xml:space="preserve">to </w:t>
      </w:r>
      <w:r w:rsidR="00A6765B">
        <w:t xml:space="preserve">convert to Islamic DFIs is the new </w:t>
      </w:r>
      <w:r w:rsidR="00AC76FF">
        <w:t xml:space="preserve">stringent </w:t>
      </w:r>
      <w:r w:rsidR="00A6765B">
        <w:t>requirement of Section 33B</w:t>
      </w:r>
      <w:r w:rsidR="007D5E42">
        <w:t>(1)(a)</w:t>
      </w:r>
      <w:r w:rsidR="00A6765B">
        <w:t xml:space="preserve"> DFIA</w:t>
      </w:r>
      <w:r>
        <w:t xml:space="preserve"> 2002 that </w:t>
      </w:r>
      <w:r w:rsidR="00AC76FF">
        <w:t>impose a condition for conversion of entire business of DFIs with literal interpretation that 100% of its assets must be in accordance with Shariah. The statutory requirements of laws provides that</w:t>
      </w:r>
      <w:r w:rsidR="00A6765B">
        <w:t xml:space="preserve"> the </w:t>
      </w:r>
      <w:r w:rsidR="00AC76FF">
        <w:t xml:space="preserve">written </w:t>
      </w:r>
      <w:r w:rsidR="00A6765B">
        <w:t xml:space="preserve">approval of BNM </w:t>
      </w:r>
      <w:r w:rsidR="00AC76FF">
        <w:t>must be obtained by DFIs</w:t>
      </w:r>
      <w:r w:rsidR="00A6765B">
        <w:t xml:space="preserve"> </w:t>
      </w:r>
      <w:r w:rsidR="00A6765B" w:rsidRPr="00B862A5">
        <w:t xml:space="preserve">subject to fulfillment of conditions that may be imposed by BNM to ensure that the Islamic business activities of the DFIs comply with the same Shariah requirements as imposed on Islamic banks under the Islamic Financial Services Act 2013.  </w:t>
      </w:r>
    </w:p>
    <w:p w14:paraId="399DD7E1" w14:textId="22142601" w:rsidR="00E61D32" w:rsidRDefault="008804AC" w:rsidP="00E004DE">
      <w:r>
        <w:t xml:space="preserve">The study finds that </w:t>
      </w:r>
      <w:r w:rsidR="00E61D32">
        <w:t>BN</w:t>
      </w:r>
      <w:r>
        <w:t xml:space="preserve">M has the full authority under the law </w:t>
      </w:r>
      <w:r w:rsidR="00E61D32">
        <w:t xml:space="preserve">as the regulatory body to give </w:t>
      </w:r>
      <w:r w:rsidR="00E004DE">
        <w:t xml:space="preserve">written </w:t>
      </w:r>
      <w:r w:rsidR="00E61D32">
        <w:t>approval to DFI</w:t>
      </w:r>
      <w:r w:rsidR="00863E94">
        <w:t xml:space="preserve">s </w:t>
      </w:r>
      <w:r w:rsidR="00E61D32">
        <w:t>under Section 33B(1)(</w:t>
      </w:r>
      <w:r w:rsidR="00E004DE">
        <w:t>a</w:t>
      </w:r>
      <w:r w:rsidR="00E61D32">
        <w:t>)</w:t>
      </w:r>
      <w:r w:rsidR="00863E94">
        <w:t xml:space="preserve">,(2) and (3) for conversion of DFIs to Islamic DFIs with remaining </w:t>
      </w:r>
      <w:r w:rsidR="00E61D32">
        <w:t xml:space="preserve">conventional </w:t>
      </w:r>
      <w:r w:rsidR="003102BE">
        <w:t xml:space="preserve">loan </w:t>
      </w:r>
      <w:r w:rsidR="00E61D32">
        <w:t xml:space="preserve">assets </w:t>
      </w:r>
      <w:r w:rsidR="00863E94">
        <w:t xml:space="preserve">to be treated as Non-Shariah Assets </w:t>
      </w:r>
      <w:r w:rsidR="00E61D32">
        <w:t xml:space="preserve">and </w:t>
      </w:r>
      <w:r w:rsidR="00863E94">
        <w:t xml:space="preserve">become </w:t>
      </w:r>
      <w:r w:rsidR="00E61D32">
        <w:t>liabilities</w:t>
      </w:r>
      <w:r w:rsidR="00863E94">
        <w:t xml:space="preserve"> of DFIs</w:t>
      </w:r>
      <w:r w:rsidR="00E61D32">
        <w:t xml:space="preserve">. </w:t>
      </w:r>
      <w:r w:rsidR="003102BE">
        <w:t xml:space="preserve">Application of DFIs to become Islamic DFIs may be taken into consideration </w:t>
      </w:r>
      <w:r w:rsidR="00DE0BCE">
        <w:t>based on</w:t>
      </w:r>
      <w:r w:rsidR="00E61D32">
        <w:t xml:space="preserve"> strong commitment </w:t>
      </w:r>
      <w:r w:rsidR="007D5E42">
        <w:t xml:space="preserve">of DFIs </w:t>
      </w:r>
      <w:r w:rsidR="00E61D32">
        <w:t>to</w:t>
      </w:r>
      <w:r w:rsidR="00E004DE">
        <w:t>wards conversion</w:t>
      </w:r>
      <w:r w:rsidR="00DE0BCE">
        <w:t xml:space="preserve"> that all business and activities are in accordance with Shariah</w:t>
      </w:r>
      <w:r w:rsidR="00E61D32">
        <w:t xml:space="preserve"> and there are action plans to convert remaining </w:t>
      </w:r>
      <w:r w:rsidR="00E004DE">
        <w:t xml:space="preserve">conventional loan </w:t>
      </w:r>
      <w:r w:rsidR="00E61D32">
        <w:t xml:space="preserve">assets and liabilities within a reasonable period. </w:t>
      </w:r>
      <w:r w:rsidR="0079212E">
        <w:t>The</w:t>
      </w:r>
      <w:r w:rsidR="007D5E42">
        <w:t>re</w:t>
      </w:r>
      <w:r w:rsidR="0079212E">
        <w:t xml:space="preserve"> are</w:t>
      </w:r>
      <w:r w:rsidR="00863E94">
        <w:t xml:space="preserve"> valid </w:t>
      </w:r>
      <w:r w:rsidR="0079212E">
        <w:t xml:space="preserve">reasons that these conventional loan </w:t>
      </w:r>
      <w:r w:rsidR="00E61D32">
        <w:t xml:space="preserve">assets and liabilities cannot be converted </w:t>
      </w:r>
      <w:r w:rsidR="0079212E">
        <w:t xml:space="preserve">including impaired loan </w:t>
      </w:r>
      <w:r w:rsidR="00E61D32">
        <w:t>due to some acceptable reasons from Shariah perspective. For th</w:t>
      </w:r>
      <w:r w:rsidR="0079212E">
        <w:t>is condition</w:t>
      </w:r>
      <w:r w:rsidR="00E61D32">
        <w:t xml:space="preserve">, </w:t>
      </w:r>
      <w:r w:rsidR="007D5E42">
        <w:t>as long as</w:t>
      </w:r>
      <w:r w:rsidR="00E61D32">
        <w:t xml:space="preserve"> </w:t>
      </w:r>
      <w:r w:rsidR="0079212E">
        <w:t>Non-Shariah Assets are</w:t>
      </w:r>
      <w:r w:rsidR="00E61D32">
        <w:t xml:space="preserve"> treated in accordance with Shariah requirements </w:t>
      </w:r>
      <w:r w:rsidR="0079212E">
        <w:t>where t</w:t>
      </w:r>
      <w:r w:rsidR="0079212E" w:rsidRPr="0079212E">
        <w:t>he income earned from conventional loan are treated as liabilities in line with Shariah requirements of giving it away as charitable amount</w:t>
      </w:r>
      <w:r w:rsidR="00336240">
        <w:t xml:space="preserve">, </w:t>
      </w:r>
      <w:r w:rsidR="00E61D32">
        <w:t>it should be acceptable.</w:t>
      </w:r>
    </w:p>
    <w:p w14:paraId="38802B37" w14:textId="610AB564" w:rsidR="00E61D32" w:rsidRDefault="00E004DE" w:rsidP="00E004DE">
      <w:r>
        <w:t>The study further finds t</w:t>
      </w:r>
      <w:r w:rsidR="00E61D32">
        <w:t>he interpretation of the word "entire business" under the said statutory requirements of law as stipulated by DFIA 2002, should not be confined to strictly mean that entire or 100% assets and liabilities must be Islamic. It should also mean</w:t>
      </w:r>
      <w:r>
        <w:t>s</w:t>
      </w:r>
      <w:r w:rsidR="00E61D32">
        <w:t xml:space="preserve"> that those remaining conventional </w:t>
      </w:r>
      <w:r>
        <w:t xml:space="preserve">loan </w:t>
      </w:r>
      <w:r w:rsidR="00E61D32">
        <w:t xml:space="preserve">assets and liabilities (within certain acceptable threshold) and their income are treated in line with Shariah. In substance, it still means that the entire business are operated in </w:t>
      </w:r>
      <w:r>
        <w:t>accordance with Shariah.</w:t>
      </w:r>
    </w:p>
    <w:p w14:paraId="72DD9F55" w14:textId="292E156C" w:rsidR="00E004DE" w:rsidRPr="002E3DAB" w:rsidRDefault="00E004DE" w:rsidP="00E004DE">
      <w:r w:rsidRPr="00E004DE">
        <w:t>The issues of conversion of conventional loan to Islamic Financing portfolio have to be resolved on case</w:t>
      </w:r>
      <w:r w:rsidR="005504E0">
        <w:t xml:space="preserve"> </w:t>
      </w:r>
      <w:r w:rsidRPr="00E004DE">
        <w:t>to</w:t>
      </w:r>
      <w:r w:rsidR="005504E0">
        <w:t xml:space="preserve"> </w:t>
      </w:r>
      <w:r w:rsidRPr="00E004DE">
        <w:t>case basis to close the gap of financing portfolio towards 100% Islamic Financing. The supports from BNM for the specific guidelines</w:t>
      </w:r>
      <w:r w:rsidR="00DE0BCE">
        <w:t xml:space="preserve"> and framework</w:t>
      </w:r>
      <w:r w:rsidRPr="00E004DE">
        <w:t xml:space="preserve"> on conversion </w:t>
      </w:r>
      <w:r>
        <w:t xml:space="preserve">of DFIs </w:t>
      </w:r>
      <w:r w:rsidRPr="00E004DE">
        <w:t xml:space="preserve">and </w:t>
      </w:r>
      <w:r>
        <w:t>strong commitment</w:t>
      </w:r>
      <w:r w:rsidRPr="00E004DE">
        <w:t xml:space="preserve"> from DFIs on conversion </w:t>
      </w:r>
      <w:r w:rsidR="005504E0">
        <w:t xml:space="preserve">of the remaining conventional loan assets </w:t>
      </w:r>
      <w:r w:rsidRPr="00E004DE">
        <w:t xml:space="preserve">may expedite the conversion </w:t>
      </w:r>
      <w:r w:rsidR="00DF0FE6">
        <w:t xml:space="preserve">of DFIs </w:t>
      </w:r>
      <w:r w:rsidRPr="00E004DE">
        <w:t>in the future.</w:t>
      </w:r>
    </w:p>
    <w:p w14:paraId="4387327F" w14:textId="32AE25AE" w:rsidR="00AF431A" w:rsidRDefault="009B2539" w:rsidP="00AF431A">
      <w:pPr>
        <w:pStyle w:val="heading1"/>
        <w:numPr>
          <w:ilvl w:val="0"/>
          <w:numId w:val="0"/>
        </w:numPr>
        <w:ind w:left="567" w:hanging="567"/>
      </w:pPr>
      <w:r>
        <w:t>References</w:t>
      </w:r>
    </w:p>
    <w:p w14:paraId="5E5B3773" w14:textId="77777777" w:rsidR="001815BA" w:rsidRDefault="001815BA" w:rsidP="00174FC9">
      <w:pPr>
        <w:pStyle w:val="referenceitem"/>
        <w:ind w:hanging="199"/>
      </w:pPr>
      <w:r>
        <w:t>Ahmad Al-Harbi (2020). The effect of conversion of Conventional Banks to Islamic Banks: Evidence from GCC Countries</w:t>
      </w:r>
    </w:p>
    <w:p w14:paraId="2904C6BA" w14:textId="6941DA46" w:rsidR="00102F42" w:rsidRDefault="00102F42" w:rsidP="00174FC9">
      <w:pPr>
        <w:pStyle w:val="referenceitem"/>
        <w:ind w:hanging="199"/>
      </w:pPr>
      <w:proofErr w:type="spellStart"/>
      <w:r>
        <w:t>Agrobank</w:t>
      </w:r>
      <w:proofErr w:type="spellEnd"/>
      <w:r>
        <w:t xml:space="preserve"> (2020). Webinar Pre Launching and Preview of Full Fledge Islamic Bank Modules: A real Case Study</w:t>
      </w:r>
    </w:p>
    <w:p w14:paraId="5B75A69C" w14:textId="67FB269A" w:rsidR="00174FC9" w:rsidRDefault="00174FC9" w:rsidP="00174FC9">
      <w:pPr>
        <w:pStyle w:val="referenceitem"/>
        <w:ind w:hanging="199"/>
      </w:pPr>
      <w:r w:rsidRPr="00DE0BCE">
        <w:t xml:space="preserve">Annual </w:t>
      </w:r>
      <w:r>
        <w:t xml:space="preserve">Integrated </w:t>
      </w:r>
      <w:r w:rsidRPr="00DE0BCE">
        <w:t xml:space="preserve">Report (2019) Bank Pembangunan Malaysia </w:t>
      </w:r>
      <w:proofErr w:type="spellStart"/>
      <w:r w:rsidRPr="00DE0BCE">
        <w:t>Berhad</w:t>
      </w:r>
      <w:proofErr w:type="spellEnd"/>
    </w:p>
    <w:p w14:paraId="67968CF2" w14:textId="49F8A9C8" w:rsidR="00174FC9" w:rsidRDefault="00174FC9" w:rsidP="00174FC9">
      <w:pPr>
        <w:pStyle w:val="referenceitem"/>
        <w:ind w:hanging="199"/>
      </w:pPr>
      <w:r w:rsidRPr="00174FC9">
        <w:t xml:space="preserve">Annual Integrated Report (2020) Bank Pembangunan Malaysia </w:t>
      </w:r>
      <w:proofErr w:type="spellStart"/>
      <w:r w:rsidRPr="00174FC9">
        <w:t>Berhad</w:t>
      </w:r>
      <w:proofErr w:type="spellEnd"/>
    </w:p>
    <w:p w14:paraId="324A1B1F" w14:textId="77777777" w:rsidR="00DE0BCE" w:rsidRDefault="00DE0BCE" w:rsidP="00DE0BCE">
      <w:pPr>
        <w:pStyle w:val="referenceitem"/>
        <w:ind w:hanging="199"/>
      </w:pPr>
      <w:bookmarkStart w:id="8" w:name="_Hlk85873030"/>
      <w:r>
        <w:t xml:space="preserve">Annual Report (2019) Bank Kerjasama Rakyat Malaysia </w:t>
      </w:r>
      <w:proofErr w:type="spellStart"/>
      <w:r>
        <w:t>Berhad</w:t>
      </w:r>
      <w:proofErr w:type="spellEnd"/>
    </w:p>
    <w:bookmarkEnd w:id="8"/>
    <w:p w14:paraId="39E11499" w14:textId="5CE95602" w:rsidR="00D54191" w:rsidRDefault="00D54191" w:rsidP="00D54191">
      <w:pPr>
        <w:pStyle w:val="referenceitem"/>
        <w:ind w:hanging="199"/>
      </w:pPr>
      <w:r>
        <w:t xml:space="preserve">Annual Report (2020) Bank Kerjasama Rakyat Malaysia </w:t>
      </w:r>
      <w:proofErr w:type="spellStart"/>
      <w:r>
        <w:t>Berhad</w:t>
      </w:r>
      <w:proofErr w:type="spellEnd"/>
    </w:p>
    <w:p w14:paraId="3215D23D" w14:textId="19EDADCE" w:rsidR="00102F42" w:rsidRDefault="00102F42" w:rsidP="00102F42">
      <w:pPr>
        <w:pStyle w:val="referenceitem"/>
        <w:ind w:hanging="199"/>
      </w:pPr>
      <w:r>
        <w:lastRenderedPageBreak/>
        <w:t xml:space="preserve">Annual Report (2015) Bank </w:t>
      </w:r>
      <w:proofErr w:type="spellStart"/>
      <w:r>
        <w:t>Pertanian</w:t>
      </w:r>
      <w:proofErr w:type="spellEnd"/>
      <w:r>
        <w:t xml:space="preserve"> Malaysia </w:t>
      </w:r>
      <w:proofErr w:type="spellStart"/>
      <w:r>
        <w:t>Berhad</w:t>
      </w:r>
      <w:proofErr w:type="spellEnd"/>
    </w:p>
    <w:p w14:paraId="0A2F381E" w14:textId="4E3382F8" w:rsidR="00102F42" w:rsidRDefault="00102F42" w:rsidP="00102F42">
      <w:pPr>
        <w:pStyle w:val="referenceitem"/>
        <w:ind w:hanging="199"/>
      </w:pPr>
      <w:r>
        <w:t xml:space="preserve">Annual Report and Financial Report (2016) Bank </w:t>
      </w:r>
      <w:proofErr w:type="spellStart"/>
      <w:r>
        <w:t>Pertanian</w:t>
      </w:r>
      <w:proofErr w:type="spellEnd"/>
      <w:r>
        <w:t xml:space="preserve"> Malaysia </w:t>
      </w:r>
      <w:proofErr w:type="spellStart"/>
      <w:r>
        <w:t>Berhad</w:t>
      </w:r>
      <w:proofErr w:type="spellEnd"/>
    </w:p>
    <w:p w14:paraId="50889517" w14:textId="4D0489FE" w:rsidR="00102F42" w:rsidRDefault="00102F42" w:rsidP="00102F42">
      <w:pPr>
        <w:pStyle w:val="referenceitem"/>
        <w:ind w:hanging="199"/>
      </w:pPr>
      <w:r>
        <w:t xml:space="preserve">Annual Report and Financial Report (2017) Bank </w:t>
      </w:r>
      <w:proofErr w:type="spellStart"/>
      <w:r>
        <w:t>Pertanian</w:t>
      </w:r>
      <w:proofErr w:type="spellEnd"/>
      <w:r>
        <w:t xml:space="preserve"> Malaysia </w:t>
      </w:r>
      <w:proofErr w:type="spellStart"/>
      <w:r>
        <w:t>Berhad</w:t>
      </w:r>
      <w:proofErr w:type="spellEnd"/>
    </w:p>
    <w:p w14:paraId="22CC640E" w14:textId="09204C96" w:rsidR="00102F42" w:rsidRDefault="00102F42" w:rsidP="00102F42">
      <w:pPr>
        <w:pStyle w:val="referenceitem"/>
        <w:ind w:hanging="199"/>
      </w:pPr>
      <w:r>
        <w:t xml:space="preserve">Annual Report and Financial Report (2018) Bank </w:t>
      </w:r>
      <w:proofErr w:type="spellStart"/>
      <w:r>
        <w:t>Pertanian</w:t>
      </w:r>
      <w:proofErr w:type="spellEnd"/>
      <w:r>
        <w:t xml:space="preserve"> Malaysia </w:t>
      </w:r>
      <w:proofErr w:type="spellStart"/>
      <w:r>
        <w:t>Berhad</w:t>
      </w:r>
      <w:proofErr w:type="spellEnd"/>
    </w:p>
    <w:p w14:paraId="6A3FC9E2" w14:textId="0ABB9D24" w:rsidR="00D54191" w:rsidRDefault="00DE0BCE" w:rsidP="00102F42">
      <w:pPr>
        <w:pStyle w:val="referenceitem"/>
        <w:ind w:hanging="199"/>
      </w:pPr>
      <w:r>
        <w:t xml:space="preserve">Annual Report </w:t>
      </w:r>
      <w:r w:rsidR="00102F42">
        <w:t xml:space="preserve">and Financial Report </w:t>
      </w:r>
      <w:r>
        <w:t xml:space="preserve">(2019) Bank </w:t>
      </w:r>
      <w:proofErr w:type="spellStart"/>
      <w:r>
        <w:t>Pertanian</w:t>
      </w:r>
      <w:proofErr w:type="spellEnd"/>
      <w:r>
        <w:t xml:space="preserve"> Malaysia </w:t>
      </w:r>
      <w:proofErr w:type="spellStart"/>
      <w:r>
        <w:t>Berhad</w:t>
      </w:r>
      <w:proofErr w:type="spellEnd"/>
    </w:p>
    <w:p w14:paraId="0F507317" w14:textId="40CE2EF5" w:rsidR="001C3403" w:rsidRDefault="001C3403" w:rsidP="001C3403">
      <w:pPr>
        <w:pStyle w:val="referenceitem"/>
        <w:ind w:hanging="199"/>
      </w:pPr>
      <w:r>
        <w:t xml:space="preserve">Annual Report (2019) Bank </w:t>
      </w:r>
      <w:proofErr w:type="spellStart"/>
      <w:r>
        <w:t>Simpanan</w:t>
      </w:r>
      <w:proofErr w:type="spellEnd"/>
      <w:r>
        <w:t xml:space="preserve"> Nasional</w:t>
      </w:r>
    </w:p>
    <w:p w14:paraId="1BCA6A72" w14:textId="77777777" w:rsidR="00D54191" w:rsidRDefault="00D54191" w:rsidP="00D54191">
      <w:pPr>
        <w:pStyle w:val="referenceitem"/>
        <w:ind w:hanging="199"/>
      </w:pPr>
      <w:r>
        <w:t xml:space="preserve">Annual Report (2020) Bank </w:t>
      </w:r>
      <w:proofErr w:type="spellStart"/>
      <w:r>
        <w:t>Simpanan</w:t>
      </w:r>
      <w:proofErr w:type="spellEnd"/>
      <w:r>
        <w:t xml:space="preserve"> Nasional</w:t>
      </w:r>
    </w:p>
    <w:p w14:paraId="6BE81082" w14:textId="100663ED" w:rsidR="001C3403" w:rsidRDefault="001C3403" w:rsidP="001C3403">
      <w:pPr>
        <w:pStyle w:val="referenceitem"/>
        <w:ind w:hanging="199"/>
      </w:pPr>
      <w:r>
        <w:t>Annual Report (2019) SME Bank</w:t>
      </w:r>
    </w:p>
    <w:p w14:paraId="6DFFF928" w14:textId="0A14BF50" w:rsidR="001C3403" w:rsidRDefault="001C3403" w:rsidP="001C3403">
      <w:pPr>
        <w:pStyle w:val="referenceitem"/>
        <w:ind w:hanging="199"/>
      </w:pPr>
      <w:r>
        <w:t>Annual Report (2019) Exim Bank</w:t>
      </w:r>
    </w:p>
    <w:p w14:paraId="3914D930" w14:textId="484F263D" w:rsidR="001C3403" w:rsidRDefault="001C3403" w:rsidP="001C3403">
      <w:pPr>
        <w:pStyle w:val="referenceitem"/>
        <w:ind w:hanging="199"/>
      </w:pPr>
      <w:r>
        <w:t>Annual Report (2020) SME Bank</w:t>
      </w:r>
    </w:p>
    <w:p w14:paraId="3D82FF42" w14:textId="479A2F05" w:rsidR="001C3403" w:rsidRDefault="001C3403" w:rsidP="001C3403">
      <w:pPr>
        <w:pStyle w:val="referenceitem"/>
        <w:ind w:hanging="199"/>
      </w:pPr>
      <w:r>
        <w:t>Annual Report (2020) Exim Bank</w:t>
      </w:r>
    </w:p>
    <w:p w14:paraId="6B2B6182" w14:textId="6DE086FA" w:rsidR="00DE0BCE" w:rsidRDefault="001C3403" w:rsidP="00DE0BCE">
      <w:pPr>
        <w:pStyle w:val="referenceitem"/>
        <w:ind w:hanging="199"/>
      </w:pPr>
      <w:r>
        <w:t xml:space="preserve">Annual Report (2020) </w:t>
      </w:r>
      <w:r w:rsidR="00414D47">
        <w:t>BNM</w:t>
      </w:r>
    </w:p>
    <w:p w14:paraId="2D29D6D1" w14:textId="58989CBC" w:rsidR="00061A37" w:rsidRDefault="00061A37" w:rsidP="00DE0BCE">
      <w:pPr>
        <w:pStyle w:val="referenceitem"/>
        <w:ind w:hanging="199"/>
      </w:pPr>
      <w:r>
        <w:t>Cambridge</w:t>
      </w:r>
      <w:r w:rsidR="001F3A31">
        <w:t xml:space="preserve"> IF Analytica UK (2016) Cambridge Cases: </w:t>
      </w:r>
      <w:proofErr w:type="spellStart"/>
      <w:r w:rsidR="001F3A31">
        <w:t>Agrobank</w:t>
      </w:r>
      <w:proofErr w:type="spellEnd"/>
      <w:r w:rsidR="001F3A31">
        <w:t xml:space="preserve"> Charting a New Path to Sustainable Growth</w:t>
      </w:r>
    </w:p>
    <w:p w14:paraId="59A70627" w14:textId="3562DFA0" w:rsidR="00102F42" w:rsidRDefault="00102F42" w:rsidP="00DE0BCE">
      <w:pPr>
        <w:pStyle w:val="referenceitem"/>
        <w:ind w:hanging="199"/>
      </w:pPr>
      <w:r>
        <w:t xml:space="preserve">Financial Report (2020) Bank </w:t>
      </w:r>
      <w:proofErr w:type="spellStart"/>
      <w:r>
        <w:t>Pertanian</w:t>
      </w:r>
      <w:proofErr w:type="spellEnd"/>
      <w:r>
        <w:t xml:space="preserve"> Malaysia </w:t>
      </w:r>
      <w:proofErr w:type="spellStart"/>
      <w:r>
        <w:t>Berhad</w:t>
      </w:r>
      <w:proofErr w:type="spellEnd"/>
    </w:p>
    <w:p w14:paraId="2D2EC6F3" w14:textId="2E456D0C" w:rsidR="001C3403" w:rsidRDefault="001C3403" w:rsidP="001C3403">
      <w:pPr>
        <w:pStyle w:val="referenceitem"/>
        <w:ind w:hanging="199"/>
      </w:pPr>
      <w:r>
        <w:t xml:space="preserve">Financial Stability and Payment System Report (2015). </w:t>
      </w:r>
      <w:r w:rsidR="00414D47">
        <w:t>BNM</w:t>
      </w:r>
    </w:p>
    <w:p w14:paraId="769320F4" w14:textId="051A784C" w:rsidR="001C3403" w:rsidRDefault="001C3403" w:rsidP="001C3403">
      <w:pPr>
        <w:pStyle w:val="referenceitem"/>
        <w:ind w:hanging="199"/>
      </w:pPr>
      <w:r>
        <w:t xml:space="preserve">Financial Stability and Payment System Report (2016). </w:t>
      </w:r>
      <w:r w:rsidR="00414D47">
        <w:t>BNM</w:t>
      </w:r>
    </w:p>
    <w:p w14:paraId="2A188A3E" w14:textId="1BF68105" w:rsidR="001C3403" w:rsidRDefault="001C3403" w:rsidP="001C3403">
      <w:pPr>
        <w:pStyle w:val="referenceitem"/>
        <w:ind w:hanging="199"/>
      </w:pPr>
      <w:r>
        <w:t xml:space="preserve">Financial Stability and Payment System Report (2020). </w:t>
      </w:r>
      <w:r w:rsidR="00414D47">
        <w:t>BNM</w:t>
      </w:r>
    </w:p>
    <w:p w14:paraId="69ADC79F" w14:textId="02C5A1C5" w:rsidR="001C3403" w:rsidRDefault="001C3403" w:rsidP="001C3403">
      <w:pPr>
        <w:pStyle w:val="referenceitem"/>
        <w:ind w:hanging="199"/>
      </w:pPr>
      <w:proofErr w:type="spellStart"/>
      <w:r>
        <w:t>Hawary</w:t>
      </w:r>
      <w:proofErr w:type="spellEnd"/>
      <w:r>
        <w:t xml:space="preserve">, D. El, Bank, W., </w:t>
      </w:r>
      <w:proofErr w:type="spellStart"/>
      <w:r>
        <w:t>Grais</w:t>
      </w:r>
      <w:proofErr w:type="spellEnd"/>
      <w:r>
        <w:t>, W., &amp; Iqbal, Z. (2004). Regulating Islamic Financial Institutions : The Nature of the Regulat</w:t>
      </w:r>
      <w:r w:rsidR="00AA3EF7">
        <w:t>ion</w:t>
      </w:r>
      <w:r>
        <w:t xml:space="preserve"> By World Bank </w:t>
      </w:r>
    </w:p>
    <w:p w14:paraId="4AD00D95" w14:textId="77777777" w:rsidR="001C3403" w:rsidRDefault="001C3403" w:rsidP="001C3403">
      <w:pPr>
        <w:pStyle w:val="referenceitem"/>
        <w:ind w:hanging="199"/>
      </w:pPr>
      <w:r>
        <w:t xml:space="preserve">Hutchinson, Terry, 2013. Doctrinal Research. In Research Methods in Law, Eds. </w:t>
      </w:r>
      <w:proofErr w:type="spellStart"/>
      <w:r>
        <w:t>Watskin</w:t>
      </w:r>
      <w:proofErr w:type="spellEnd"/>
      <w:r>
        <w:t>. Dawn &amp; Burton, Mandy, Oxon: Routledge, pp: 7-33.</w:t>
      </w:r>
    </w:p>
    <w:p w14:paraId="2AA5D968" w14:textId="77777777" w:rsidR="001C3403" w:rsidRDefault="001C3403" w:rsidP="001C3403">
      <w:pPr>
        <w:pStyle w:val="referenceitem"/>
        <w:ind w:hanging="199"/>
      </w:pPr>
      <w:r>
        <w:t xml:space="preserve">Islam, M.A. (2015). Is There a Link between Development Financial Institutions </w:t>
      </w:r>
      <w:proofErr w:type="gramStart"/>
      <w:r>
        <w:t>( DFIs</w:t>
      </w:r>
      <w:proofErr w:type="gramEnd"/>
      <w:r>
        <w:t xml:space="preserve"> ) and the Economic Development ? The Malaysian Case, 1(10), 226–237.</w:t>
      </w:r>
    </w:p>
    <w:p w14:paraId="3792412D" w14:textId="77777777" w:rsidR="001C3403" w:rsidRDefault="001C3403" w:rsidP="001C3403">
      <w:pPr>
        <w:pStyle w:val="referenceitem"/>
        <w:ind w:hanging="199"/>
      </w:pPr>
      <w:r>
        <w:t xml:space="preserve">Islam, M. A. (2015). An Empirical Assessment of the Impact of Development Financial Institutions </w:t>
      </w:r>
      <w:proofErr w:type="gramStart"/>
      <w:r>
        <w:t>( DFIs</w:t>
      </w:r>
      <w:proofErr w:type="gramEnd"/>
      <w:r>
        <w:t xml:space="preserve"> ) on Malaysian Economy, 4(4), 176–184.</w:t>
      </w:r>
    </w:p>
    <w:p w14:paraId="00DB1F63" w14:textId="77777777" w:rsidR="001C3403" w:rsidRDefault="001C3403" w:rsidP="001C3403">
      <w:pPr>
        <w:pStyle w:val="referenceitem"/>
        <w:ind w:hanging="199"/>
      </w:pPr>
      <w:r>
        <w:t>Islam, M. A. (2012). An Appraisal of the Performance of the Two (2) Development Financial Institutions (DFIS) in Malaysia. International Journal of Economics and Management Sciences, 1(7), 64–74.</w:t>
      </w:r>
    </w:p>
    <w:p w14:paraId="12364F93" w14:textId="77777777" w:rsidR="00102F42" w:rsidRDefault="00102F42" w:rsidP="001C3403">
      <w:pPr>
        <w:pStyle w:val="referenceitem"/>
        <w:ind w:hanging="199"/>
      </w:pPr>
      <w:r>
        <w:t>ISRA (2020). IF360 Webinar The Framework of Conversion from Conventional Bank to Islamic Bank</w:t>
      </w:r>
    </w:p>
    <w:p w14:paraId="26731B2B" w14:textId="01C0800E" w:rsidR="00061A37" w:rsidRDefault="00061A37" w:rsidP="00061A37">
      <w:pPr>
        <w:pStyle w:val="referenceitem"/>
        <w:ind w:hanging="199"/>
      </w:pPr>
      <w:r>
        <w:t xml:space="preserve">ISRA (2020). </w:t>
      </w:r>
      <w:r w:rsidR="001F3A31" w:rsidRPr="001F3A31">
        <w:t>Policies, Processes and Procedures for Converting Conventional Banks to Islamic Banks: A Proposed Framework</w:t>
      </w:r>
    </w:p>
    <w:p w14:paraId="714FC9BE" w14:textId="7F0964F6" w:rsidR="001C3403" w:rsidRDefault="001C3403" w:rsidP="001C3403">
      <w:pPr>
        <w:pStyle w:val="referenceitem"/>
        <w:ind w:hanging="199"/>
      </w:pPr>
      <w:r>
        <w:t>Johan Lee and Umar Oseni. (2015) IFSA 2013: Commentaries on Islamic Banking and Finance. CLJ Publication</w:t>
      </w:r>
    </w:p>
    <w:p w14:paraId="33091B6F" w14:textId="4F564336" w:rsidR="00102F42" w:rsidRDefault="00F07EB7" w:rsidP="00F07EB7">
      <w:pPr>
        <w:pStyle w:val="referenceitem"/>
        <w:ind w:hanging="199"/>
      </w:pPr>
      <w:proofErr w:type="spellStart"/>
      <w:r w:rsidRPr="00F07EB7">
        <w:t>Rafay</w:t>
      </w:r>
      <w:proofErr w:type="spellEnd"/>
      <w:r w:rsidRPr="00F07EB7">
        <w:t>, A., &amp; Sadiq, R. (2015). Problems And Issues In Transformation From Conventional Banking To Islamic Banking: Literature Review For The Need Of A Comprehensive Framework For A Smooth Change. City University Research Journal, 5(2), 315-326.</w:t>
      </w:r>
    </w:p>
    <w:p w14:paraId="041917FC" w14:textId="77777777" w:rsidR="001C3403" w:rsidRDefault="001C3403" w:rsidP="001C3403">
      <w:pPr>
        <w:pStyle w:val="referenceitem"/>
        <w:ind w:hanging="199"/>
      </w:pPr>
      <w:r>
        <w:t>Rusni Hassan (2014). Corporate Governance Practice in Islamic Financial Institutions. IBFIM</w:t>
      </w:r>
    </w:p>
    <w:p w14:paraId="75848809" w14:textId="357C8B59" w:rsidR="00F07EB7" w:rsidRDefault="00F07EB7" w:rsidP="00AA3EF7">
      <w:pPr>
        <w:pStyle w:val="referenceitem"/>
        <w:ind w:hanging="199"/>
      </w:pPr>
      <w:proofErr w:type="spellStart"/>
      <w:r w:rsidRPr="00F07EB7">
        <w:t>Shafii</w:t>
      </w:r>
      <w:proofErr w:type="spellEnd"/>
      <w:r w:rsidRPr="00F07EB7">
        <w:t xml:space="preserve">, </w:t>
      </w:r>
      <w:proofErr w:type="spellStart"/>
      <w:r w:rsidRPr="00F07EB7">
        <w:t>Shahimi</w:t>
      </w:r>
      <w:proofErr w:type="spellEnd"/>
      <w:r w:rsidRPr="00F07EB7">
        <w:t xml:space="preserve"> &amp; </w:t>
      </w:r>
      <w:proofErr w:type="spellStart"/>
      <w:r w:rsidRPr="00F07EB7">
        <w:t>Saaid</w:t>
      </w:r>
      <w:proofErr w:type="spellEnd"/>
      <w:r w:rsidRPr="00F07EB7">
        <w:t xml:space="preserve"> </w:t>
      </w:r>
      <w:r>
        <w:t xml:space="preserve">(2016). </w:t>
      </w:r>
      <w:r w:rsidRPr="00F07EB7">
        <w:t>Obstacles and Motivation behind Conversion of Conventional Banks to Islamic Banks: An Overview</w:t>
      </w:r>
    </w:p>
    <w:p w14:paraId="5FD22C53" w14:textId="5575EC38" w:rsidR="001C3403" w:rsidRDefault="001C3403" w:rsidP="00AA3EF7">
      <w:pPr>
        <w:pStyle w:val="referenceitem"/>
        <w:ind w:hanging="199"/>
      </w:pPr>
      <w:r>
        <w:t xml:space="preserve">Sheila </w:t>
      </w:r>
      <w:proofErr w:type="spellStart"/>
      <w:r>
        <w:t>Ainon</w:t>
      </w:r>
      <w:proofErr w:type="spellEnd"/>
      <w:r>
        <w:t xml:space="preserve"> </w:t>
      </w:r>
      <w:proofErr w:type="spellStart"/>
      <w:r>
        <w:t>Yussof</w:t>
      </w:r>
      <w:proofErr w:type="spellEnd"/>
      <w:r>
        <w:t xml:space="preserve">. (2013). The Islamic Financial Services </w:t>
      </w:r>
      <w:proofErr w:type="gramStart"/>
      <w:r>
        <w:t>Act ,</w:t>
      </w:r>
      <w:proofErr w:type="gramEnd"/>
      <w:r>
        <w:t xml:space="preserve"> 2013 : Malaysia ’ s Model Framework for Shariah ¬ compliance and Stability. </w:t>
      </w:r>
    </w:p>
    <w:p w14:paraId="0B79AEA3" w14:textId="34B7E2D8" w:rsidR="00287882" w:rsidRDefault="00287882" w:rsidP="001C3403">
      <w:pPr>
        <w:pStyle w:val="referenceitem"/>
        <w:ind w:hanging="199"/>
      </w:pPr>
      <w:r>
        <w:t>State Bank of  Pakistan (2017), Guidelines for Conversion of a Conventional Bank into an Islamic Bank</w:t>
      </w:r>
    </w:p>
    <w:p w14:paraId="15F4E7DE" w14:textId="562D5E55" w:rsidR="001815BA" w:rsidRDefault="001815BA" w:rsidP="001C3403">
      <w:pPr>
        <w:pStyle w:val="referenceitem"/>
        <w:ind w:hanging="199"/>
      </w:pPr>
      <w:r>
        <w:t>University Islam Malaysia (2017). Conference on Conversion to Full-Fledged Islamic Bank</w:t>
      </w:r>
    </w:p>
    <w:p w14:paraId="4B85CADE" w14:textId="47795D16" w:rsidR="001C3403" w:rsidRDefault="001C3403" w:rsidP="001C3403">
      <w:pPr>
        <w:pStyle w:val="referenceitem"/>
        <w:ind w:hanging="199"/>
      </w:pPr>
      <w:r>
        <w:t>Yaacob, H. (2013). The Islamic Financial Services Act 2013 : An Overview and Appraisal, 250–253.</w:t>
      </w:r>
    </w:p>
    <w:sectPr w:rsidR="001C3403" w:rsidSect="009F7FCE">
      <w:headerReference w:type="even" r:id="rId10"/>
      <w:headerReference w:type="default" r:id="rId11"/>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9242" w14:textId="77777777" w:rsidR="006655B7" w:rsidRDefault="006655B7">
      <w:r>
        <w:separator/>
      </w:r>
    </w:p>
  </w:endnote>
  <w:endnote w:type="continuationSeparator" w:id="0">
    <w:p w14:paraId="77C5E9E2" w14:textId="77777777" w:rsidR="006655B7" w:rsidRDefault="0066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0240" w14:textId="77777777" w:rsidR="006655B7" w:rsidRDefault="006655B7" w:rsidP="009F7FCE">
      <w:pPr>
        <w:ind w:firstLine="0"/>
      </w:pPr>
      <w:r>
        <w:separator/>
      </w:r>
    </w:p>
  </w:footnote>
  <w:footnote w:type="continuationSeparator" w:id="0">
    <w:p w14:paraId="146CF175" w14:textId="77777777" w:rsidR="006655B7" w:rsidRDefault="006655B7"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328B" w14:textId="6478F1A1" w:rsidR="002864DF" w:rsidRDefault="002864DF" w:rsidP="00F321B4">
    <w:pPr>
      <w:pStyle w:val="Header"/>
    </w:pPr>
    <w:r>
      <w:fldChar w:fldCharType="begin"/>
    </w:r>
    <w:r>
      <w:instrText>PAGE   \* MERGEFORMAT</w:instrText>
    </w:r>
    <w:r>
      <w:fldChar w:fldCharType="separate"/>
    </w:r>
    <w:r w:rsidR="00FA3BCF">
      <w:rPr>
        <w:noProof/>
      </w:rPr>
      <w:t>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328C" w14:textId="77777777" w:rsidR="002864DF" w:rsidRDefault="002864DF" w:rsidP="002D48C5">
    <w:pPr>
      <w:pStyle w:val="Header"/>
      <w:jc w:val="right"/>
    </w:pPr>
    <w:r>
      <w:fldChar w:fldCharType="begin"/>
    </w:r>
    <w:r>
      <w:instrText>PAGE   \* MERGEFORMAT</w:instrText>
    </w:r>
    <w:r>
      <w:fldChar w:fldCharType="separate"/>
    </w:r>
    <w:r w:rsidR="00FA3BCF">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45F75BD5"/>
    <w:multiLevelType w:val="multilevel"/>
    <w:tmpl w:val="F35CB8F2"/>
    <w:numStyleLink w:val="referencelist"/>
  </w:abstractNum>
  <w:abstractNum w:abstractNumId="2"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2"/>
  </w:num>
  <w:num w:numId="4">
    <w:abstractNumId w:val="2"/>
  </w:num>
  <w:num w:numId="5">
    <w:abstractNumId w:val="4"/>
  </w:num>
  <w:num w:numId="6">
    <w:abstractNumId w:val="4"/>
  </w:num>
  <w:num w:numId="7">
    <w:abstractNumId w:val="3"/>
  </w:num>
  <w:num w:numId="8">
    <w:abstractNumId w:val="5"/>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tjQyNTG0MDc3NTRR0lEKTi0uzszPAykwrAUAJhrMDCwAAAA="/>
  </w:docVars>
  <w:rsids>
    <w:rsidRoot w:val="009F7FCE"/>
    <w:rsid w:val="00024F9B"/>
    <w:rsid w:val="0002644B"/>
    <w:rsid w:val="00031444"/>
    <w:rsid w:val="00061A37"/>
    <w:rsid w:val="00062C43"/>
    <w:rsid w:val="00062D7D"/>
    <w:rsid w:val="00072A0C"/>
    <w:rsid w:val="00086A04"/>
    <w:rsid w:val="00093F6F"/>
    <w:rsid w:val="000C09A9"/>
    <w:rsid w:val="000E53D2"/>
    <w:rsid w:val="000F70EC"/>
    <w:rsid w:val="00102F42"/>
    <w:rsid w:val="00135288"/>
    <w:rsid w:val="0013543D"/>
    <w:rsid w:val="00135687"/>
    <w:rsid w:val="00136F78"/>
    <w:rsid w:val="00152F0F"/>
    <w:rsid w:val="001622E8"/>
    <w:rsid w:val="00174FC9"/>
    <w:rsid w:val="001815BA"/>
    <w:rsid w:val="001821C5"/>
    <w:rsid w:val="001A02F0"/>
    <w:rsid w:val="001C3403"/>
    <w:rsid w:val="001C646F"/>
    <w:rsid w:val="001F31B8"/>
    <w:rsid w:val="001F3A31"/>
    <w:rsid w:val="001F41D9"/>
    <w:rsid w:val="0020537D"/>
    <w:rsid w:val="00205D01"/>
    <w:rsid w:val="002154F7"/>
    <w:rsid w:val="0023025A"/>
    <w:rsid w:val="00235799"/>
    <w:rsid w:val="00237552"/>
    <w:rsid w:val="0024297C"/>
    <w:rsid w:val="002441B6"/>
    <w:rsid w:val="0025051A"/>
    <w:rsid w:val="002514AB"/>
    <w:rsid w:val="0027197E"/>
    <w:rsid w:val="00280710"/>
    <w:rsid w:val="00281DA2"/>
    <w:rsid w:val="002864DF"/>
    <w:rsid w:val="00287882"/>
    <w:rsid w:val="00294079"/>
    <w:rsid w:val="002B7883"/>
    <w:rsid w:val="002C78F2"/>
    <w:rsid w:val="002D48C5"/>
    <w:rsid w:val="002E062F"/>
    <w:rsid w:val="002E3DAB"/>
    <w:rsid w:val="002E4C13"/>
    <w:rsid w:val="003100CC"/>
    <w:rsid w:val="003102BE"/>
    <w:rsid w:val="00313E30"/>
    <w:rsid w:val="00321935"/>
    <w:rsid w:val="003247ED"/>
    <w:rsid w:val="00325182"/>
    <w:rsid w:val="0032628F"/>
    <w:rsid w:val="0033265D"/>
    <w:rsid w:val="0033400E"/>
    <w:rsid w:val="003352C8"/>
    <w:rsid w:val="00336240"/>
    <w:rsid w:val="0035204E"/>
    <w:rsid w:val="003950C0"/>
    <w:rsid w:val="00395ED5"/>
    <w:rsid w:val="003B6461"/>
    <w:rsid w:val="003E6AC0"/>
    <w:rsid w:val="00400178"/>
    <w:rsid w:val="004064D7"/>
    <w:rsid w:val="00413E2A"/>
    <w:rsid w:val="00414D47"/>
    <w:rsid w:val="00452D9E"/>
    <w:rsid w:val="00495D3D"/>
    <w:rsid w:val="004A0928"/>
    <w:rsid w:val="004A27BF"/>
    <w:rsid w:val="004B4A17"/>
    <w:rsid w:val="004C4B93"/>
    <w:rsid w:val="004F611D"/>
    <w:rsid w:val="00510508"/>
    <w:rsid w:val="00513319"/>
    <w:rsid w:val="00513417"/>
    <w:rsid w:val="005218EF"/>
    <w:rsid w:val="005330D7"/>
    <w:rsid w:val="00541ADA"/>
    <w:rsid w:val="00545266"/>
    <w:rsid w:val="0054617E"/>
    <w:rsid w:val="005504E0"/>
    <w:rsid w:val="0057114B"/>
    <w:rsid w:val="005834B1"/>
    <w:rsid w:val="005927EE"/>
    <w:rsid w:val="005A7FC3"/>
    <w:rsid w:val="005C4016"/>
    <w:rsid w:val="005C4D23"/>
    <w:rsid w:val="005E2DCE"/>
    <w:rsid w:val="005F1287"/>
    <w:rsid w:val="005F1AEF"/>
    <w:rsid w:val="00613B33"/>
    <w:rsid w:val="00614961"/>
    <w:rsid w:val="00627E8C"/>
    <w:rsid w:val="00644588"/>
    <w:rsid w:val="00647271"/>
    <w:rsid w:val="006524F4"/>
    <w:rsid w:val="00660CAB"/>
    <w:rsid w:val="006655B7"/>
    <w:rsid w:val="006867CF"/>
    <w:rsid w:val="006A79D5"/>
    <w:rsid w:val="006B40DF"/>
    <w:rsid w:val="00721505"/>
    <w:rsid w:val="007217FB"/>
    <w:rsid w:val="007410D6"/>
    <w:rsid w:val="00771613"/>
    <w:rsid w:val="0079212E"/>
    <w:rsid w:val="00792E1E"/>
    <w:rsid w:val="007C26B4"/>
    <w:rsid w:val="007D46F2"/>
    <w:rsid w:val="007D5E42"/>
    <w:rsid w:val="007E4391"/>
    <w:rsid w:val="00807DBE"/>
    <w:rsid w:val="00812380"/>
    <w:rsid w:val="00813DF5"/>
    <w:rsid w:val="00830B77"/>
    <w:rsid w:val="008557C5"/>
    <w:rsid w:val="008576F7"/>
    <w:rsid w:val="00857C33"/>
    <w:rsid w:val="008615AD"/>
    <w:rsid w:val="00863E94"/>
    <w:rsid w:val="00864A35"/>
    <w:rsid w:val="00872F82"/>
    <w:rsid w:val="008804AC"/>
    <w:rsid w:val="008807D2"/>
    <w:rsid w:val="008A318E"/>
    <w:rsid w:val="008B141E"/>
    <w:rsid w:val="008C580E"/>
    <w:rsid w:val="008D62DD"/>
    <w:rsid w:val="008D6790"/>
    <w:rsid w:val="008F2D4C"/>
    <w:rsid w:val="0090071B"/>
    <w:rsid w:val="00902F81"/>
    <w:rsid w:val="00904DF5"/>
    <w:rsid w:val="00924C58"/>
    <w:rsid w:val="00925967"/>
    <w:rsid w:val="00927167"/>
    <w:rsid w:val="009352BE"/>
    <w:rsid w:val="00942422"/>
    <w:rsid w:val="00947C24"/>
    <w:rsid w:val="0098160C"/>
    <w:rsid w:val="009847E0"/>
    <w:rsid w:val="00987428"/>
    <w:rsid w:val="009930E4"/>
    <w:rsid w:val="009A0A8A"/>
    <w:rsid w:val="009A2DC1"/>
    <w:rsid w:val="009A30DE"/>
    <w:rsid w:val="009B2539"/>
    <w:rsid w:val="009F7FCE"/>
    <w:rsid w:val="00A02C20"/>
    <w:rsid w:val="00A25CEC"/>
    <w:rsid w:val="00A34D93"/>
    <w:rsid w:val="00A528D9"/>
    <w:rsid w:val="00A6765B"/>
    <w:rsid w:val="00A71471"/>
    <w:rsid w:val="00A76871"/>
    <w:rsid w:val="00A80AEF"/>
    <w:rsid w:val="00A922AF"/>
    <w:rsid w:val="00AA3EF7"/>
    <w:rsid w:val="00AA7464"/>
    <w:rsid w:val="00AC76FF"/>
    <w:rsid w:val="00AF37B3"/>
    <w:rsid w:val="00AF3822"/>
    <w:rsid w:val="00AF38DF"/>
    <w:rsid w:val="00AF431A"/>
    <w:rsid w:val="00AF7F9D"/>
    <w:rsid w:val="00B0166B"/>
    <w:rsid w:val="00B12329"/>
    <w:rsid w:val="00B14BAF"/>
    <w:rsid w:val="00B213BE"/>
    <w:rsid w:val="00B23481"/>
    <w:rsid w:val="00B31BF3"/>
    <w:rsid w:val="00B353F2"/>
    <w:rsid w:val="00B50034"/>
    <w:rsid w:val="00B508C5"/>
    <w:rsid w:val="00B535E1"/>
    <w:rsid w:val="00B7580D"/>
    <w:rsid w:val="00B862A5"/>
    <w:rsid w:val="00B95F0D"/>
    <w:rsid w:val="00BB663E"/>
    <w:rsid w:val="00BD6F03"/>
    <w:rsid w:val="00C0521A"/>
    <w:rsid w:val="00C07B2B"/>
    <w:rsid w:val="00C13601"/>
    <w:rsid w:val="00C14A7C"/>
    <w:rsid w:val="00C17912"/>
    <w:rsid w:val="00C2112C"/>
    <w:rsid w:val="00C30D27"/>
    <w:rsid w:val="00C3117F"/>
    <w:rsid w:val="00C404CD"/>
    <w:rsid w:val="00C41661"/>
    <w:rsid w:val="00C45DAC"/>
    <w:rsid w:val="00C57689"/>
    <w:rsid w:val="00C73954"/>
    <w:rsid w:val="00C876E1"/>
    <w:rsid w:val="00C929BD"/>
    <w:rsid w:val="00CC3378"/>
    <w:rsid w:val="00CE3B21"/>
    <w:rsid w:val="00CF2DD6"/>
    <w:rsid w:val="00CF6ECC"/>
    <w:rsid w:val="00D00FEB"/>
    <w:rsid w:val="00D14436"/>
    <w:rsid w:val="00D4603C"/>
    <w:rsid w:val="00D54191"/>
    <w:rsid w:val="00D60F85"/>
    <w:rsid w:val="00D620B1"/>
    <w:rsid w:val="00D65969"/>
    <w:rsid w:val="00D70512"/>
    <w:rsid w:val="00D81305"/>
    <w:rsid w:val="00D94579"/>
    <w:rsid w:val="00DB0DEB"/>
    <w:rsid w:val="00DB3453"/>
    <w:rsid w:val="00DB6681"/>
    <w:rsid w:val="00DC2CA9"/>
    <w:rsid w:val="00DC7E1A"/>
    <w:rsid w:val="00DE0028"/>
    <w:rsid w:val="00DE05B5"/>
    <w:rsid w:val="00DE0BCE"/>
    <w:rsid w:val="00DE4B03"/>
    <w:rsid w:val="00DE74A5"/>
    <w:rsid w:val="00DF0FE6"/>
    <w:rsid w:val="00E004DE"/>
    <w:rsid w:val="00E00D62"/>
    <w:rsid w:val="00E03931"/>
    <w:rsid w:val="00E3646B"/>
    <w:rsid w:val="00E4250A"/>
    <w:rsid w:val="00E4786C"/>
    <w:rsid w:val="00E562FA"/>
    <w:rsid w:val="00E57F84"/>
    <w:rsid w:val="00E603C7"/>
    <w:rsid w:val="00E61D32"/>
    <w:rsid w:val="00E624BB"/>
    <w:rsid w:val="00E802D3"/>
    <w:rsid w:val="00E8343C"/>
    <w:rsid w:val="00E94015"/>
    <w:rsid w:val="00E96EBD"/>
    <w:rsid w:val="00EB1756"/>
    <w:rsid w:val="00EB3ED8"/>
    <w:rsid w:val="00EC1F94"/>
    <w:rsid w:val="00ED2731"/>
    <w:rsid w:val="00EE737A"/>
    <w:rsid w:val="00F07EB7"/>
    <w:rsid w:val="00F32152"/>
    <w:rsid w:val="00F321B4"/>
    <w:rsid w:val="00F36AD2"/>
    <w:rsid w:val="00F36D7A"/>
    <w:rsid w:val="00F36F36"/>
    <w:rsid w:val="00F414EE"/>
    <w:rsid w:val="00F50F29"/>
    <w:rsid w:val="00F536B3"/>
    <w:rsid w:val="00F54B66"/>
    <w:rsid w:val="00F573DC"/>
    <w:rsid w:val="00F67DF7"/>
    <w:rsid w:val="00F729B8"/>
    <w:rsid w:val="00F80D96"/>
    <w:rsid w:val="00F82E4D"/>
    <w:rsid w:val="00FA3BCF"/>
    <w:rsid w:val="00FB45CE"/>
    <w:rsid w:val="00FC07CC"/>
    <w:rsid w:val="00FD5618"/>
    <w:rsid w:val="00FE044E"/>
    <w:rsid w:val="00FE08EF"/>
    <w:rsid w:val="00FE6450"/>
    <w:rsid w:val="00FF388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73254"/>
  <w15:docId w15:val="{ED63B9D9-A04F-49F8-8089-FAA7B396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E8C"/>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22"/>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customStyle="1" w:styleId="UnresolvedMention1">
    <w:name w:val="Unresolved Mention1"/>
    <w:basedOn w:val="DefaultParagraphFont"/>
    <w:uiPriority w:val="99"/>
    <w:semiHidden/>
    <w:unhideWhenUsed/>
    <w:rsid w:val="00F536B3"/>
    <w:rPr>
      <w:color w:val="605E5C"/>
      <w:shd w:val="clear" w:color="auto" w:fill="E1DFDD"/>
    </w:rPr>
  </w:style>
  <w:style w:type="paragraph" w:styleId="Caption">
    <w:name w:val="caption"/>
    <w:basedOn w:val="Normal"/>
    <w:next w:val="Normal"/>
    <w:uiPriority w:val="35"/>
    <w:unhideWhenUsed/>
    <w:qFormat/>
    <w:rsid w:val="0002644B"/>
    <w:pPr>
      <w:overflowPunct/>
      <w:autoSpaceDE/>
      <w:autoSpaceDN/>
      <w:adjustRightInd/>
      <w:spacing w:line="240" w:lineRule="auto"/>
      <w:ind w:firstLine="0"/>
      <w:jc w:val="center"/>
      <w:textAlignment w:val="auto"/>
    </w:pPr>
    <w:rPr>
      <w:rFonts w:eastAsiaTheme="minorHAnsi" w:cstheme="majorBidi"/>
      <w:sz w:val="24"/>
      <w:szCs w:val="24"/>
    </w:rPr>
  </w:style>
  <w:style w:type="table" w:styleId="TableGrid">
    <w:name w:val="Table Grid"/>
    <w:basedOn w:val="TableNormal"/>
    <w:uiPriority w:val="39"/>
    <w:rsid w:val="0090071B"/>
    <w:pPr>
      <w:spacing w:line="240" w:lineRule="auto"/>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90071B"/>
    <w:rPr>
      <w:sz w:val="16"/>
      <w:szCs w:val="16"/>
    </w:rPr>
  </w:style>
  <w:style w:type="paragraph" w:customStyle="1" w:styleId="BodyTextIndent">
    <w:name w:val="Body Text (Indent)"/>
    <w:basedOn w:val="Normal"/>
    <w:next w:val="Normal"/>
    <w:autoRedefine/>
    <w:qFormat/>
    <w:rsid w:val="005C4016"/>
    <w:pPr>
      <w:tabs>
        <w:tab w:val="left" w:pos="5355"/>
      </w:tabs>
      <w:overflowPunct/>
      <w:autoSpaceDE/>
      <w:autoSpaceDN/>
      <w:adjustRightInd/>
      <w:spacing w:line="240" w:lineRule="auto"/>
      <w:ind w:firstLine="680"/>
      <w:contextualSpacing/>
      <w:textAlignment w:val="auto"/>
    </w:pPr>
    <w:rPr>
      <w:rFonts w:ascii="Traditional Arabic" w:eastAsiaTheme="minorHAnsi" w:hAnsi="Traditional Arabic" w:cs="Traditional Arabic"/>
      <w:sz w:val="36"/>
      <w:szCs w:val="36"/>
    </w:rPr>
  </w:style>
  <w:style w:type="character" w:styleId="Emphasis">
    <w:name w:val="Emphasis"/>
    <w:uiPriority w:val="20"/>
    <w:qFormat/>
    <w:rsid w:val="005C4016"/>
    <w:rPr>
      <w:i/>
      <w:iCs/>
    </w:rPr>
  </w:style>
  <w:style w:type="paragraph" w:styleId="BalloonText">
    <w:name w:val="Balloon Text"/>
    <w:basedOn w:val="Normal"/>
    <w:link w:val="BalloonTextChar"/>
    <w:semiHidden/>
    <w:unhideWhenUsed/>
    <w:rsid w:val="00545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45266"/>
    <w:rPr>
      <w:rFonts w:ascii="Segoe UI" w:hAnsi="Segoe UI" w:cs="Segoe UI"/>
      <w:sz w:val="18"/>
      <w:szCs w:val="18"/>
    </w:rPr>
  </w:style>
  <w:style w:type="paragraph" w:styleId="ListParagraph">
    <w:name w:val="List Paragraph"/>
    <w:basedOn w:val="Normal"/>
    <w:rsid w:val="001C3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1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477868502266252E-2"/>
          <c:y val="0.10704733111392332"/>
          <c:w val="0.8857209197505993"/>
          <c:h val="0.58571538963720904"/>
        </c:manualLayout>
      </c:layout>
      <c:barChart>
        <c:barDir val="col"/>
        <c:grouping val="clustered"/>
        <c:varyColors val="0"/>
        <c:ser>
          <c:idx val="0"/>
          <c:order val="0"/>
          <c:tx>
            <c:strRef>
              <c:f>Sheet1!$B$1</c:f>
              <c:strCache>
                <c:ptCount val="1"/>
                <c:pt idx="0">
                  <c:v>Islamic Financing Portfolio</c:v>
                </c:pt>
              </c:strCache>
            </c:strRef>
          </c:tx>
          <c:spPr>
            <a:solidFill>
              <a:schemeClr val="accent1"/>
            </a:solidFill>
            <a:ln>
              <a:noFill/>
            </a:ln>
            <a:effectLst/>
          </c:spPr>
          <c:invertIfNegative val="0"/>
          <c:cat>
            <c:strRef>
              <c:f>Sheet1!$A$2:$A$5</c:f>
              <c:strCache>
                <c:ptCount val="4"/>
                <c:pt idx="0">
                  <c:v>SME Bank</c:v>
                </c:pt>
                <c:pt idx="1">
                  <c:v>BSN</c:v>
                </c:pt>
                <c:pt idx="2">
                  <c:v>Bank Pembangunan</c:v>
                </c:pt>
                <c:pt idx="3">
                  <c:v>Exim Bank</c:v>
                </c:pt>
              </c:strCache>
            </c:strRef>
          </c:cat>
          <c:val>
            <c:numRef>
              <c:f>Sheet1!$B$2:$B$5</c:f>
              <c:numCache>
                <c:formatCode>General</c:formatCode>
                <c:ptCount val="4"/>
                <c:pt idx="0">
                  <c:v>95.9</c:v>
                </c:pt>
                <c:pt idx="1">
                  <c:v>72.3</c:v>
                </c:pt>
                <c:pt idx="2">
                  <c:v>68.5</c:v>
                </c:pt>
                <c:pt idx="3">
                  <c:v>49.2</c:v>
                </c:pt>
              </c:numCache>
            </c:numRef>
          </c:val>
          <c:extLst>
            <c:ext xmlns:c16="http://schemas.microsoft.com/office/drawing/2014/chart" uri="{C3380CC4-5D6E-409C-BE32-E72D297353CC}">
              <c16:uniqueId val="{00000000-7B92-4BF1-973C-9D66D7CDA6CE}"/>
            </c:ext>
          </c:extLst>
        </c:ser>
        <c:ser>
          <c:idx val="1"/>
          <c:order val="1"/>
          <c:tx>
            <c:strRef>
              <c:f>Sheet1!$C$1</c:f>
              <c:strCache>
                <c:ptCount val="1"/>
                <c:pt idx="0">
                  <c:v>Conventional Loan Portfolio</c:v>
                </c:pt>
              </c:strCache>
            </c:strRef>
          </c:tx>
          <c:spPr>
            <a:solidFill>
              <a:schemeClr val="accent2"/>
            </a:solidFill>
            <a:ln>
              <a:noFill/>
            </a:ln>
            <a:effectLst/>
          </c:spPr>
          <c:invertIfNegative val="0"/>
          <c:cat>
            <c:strRef>
              <c:f>Sheet1!$A$2:$A$5</c:f>
              <c:strCache>
                <c:ptCount val="4"/>
                <c:pt idx="0">
                  <c:v>SME Bank</c:v>
                </c:pt>
                <c:pt idx="1">
                  <c:v>BSN</c:v>
                </c:pt>
                <c:pt idx="2">
                  <c:v>Bank Pembangunan</c:v>
                </c:pt>
                <c:pt idx="3">
                  <c:v>Exim Bank</c:v>
                </c:pt>
              </c:strCache>
            </c:strRef>
          </c:cat>
          <c:val>
            <c:numRef>
              <c:f>Sheet1!$C$2:$C$5</c:f>
              <c:numCache>
                <c:formatCode>General</c:formatCode>
                <c:ptCount val="4"/>
                <c:pt idx="0">
                  <c:v>4.0999999999999996</c:v>
                </c:pt>
                <c:pt idx="1">
                  <c:v>27.2</c:v>
                </c:pt>
                <c:pt idx="2">
                  <c:v>31.5</c:v>
                </c:pt>
                <c:pt idx="3">
                  <c:v>50.8</c:v>
                </c:pt>
              </c:numCache>
            </c:numRef>
          </c:val>
          <c:extLst>
            <c:ext xmlns:c16="http://schemas.microsoft.com/office/drawing/2014/chart" uri="{C3380CC4-5D6E-409C-BE32-E72D297353CC}">
              <c16:uniqueId val="{00000001-7B92-4BF1-973C-9D66D7CDA6CE}"/>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4"/>
                <c:pt idx="0">
                  <c:v>SME Bank</c:v>
                </c:pt>
                <c:pt idx="1">
                  <c:v>BSN</c:v>
                </c:pt>
                <c:pt idx="2">
                  <c:v>Bank Pembangunan</c:v>
                </c:pt>
                <c:pt idx="3">
                  <c:v>Exim Bank</c:v>
                </c:pt>
              </c:strCache>
            </c:strRef>
          </c:cat>
          <c:val>
            <c:numRef>
              <c:f>Sheet1!$D$2:$D$5</c:f>
              <c:numCache>
                <c:formatCode>General</c:formatCode>
                <c:ptCount val="4"/>
              </c:numCache>
            </c:numRef>
          </c:val>
          <c:extLst>
            <c:ext xmlns:c16="http://schemas.microsoft.com/office/drawing/2014/chart" uri="{C3380CC4-5D6E-409C-BE32-E72D297353CC}">
              <c16:uniqueId val="{00000002-7B92-4BF1-973C-9D66D7CDA6CE}"/>
            </c:ext>
          </c:extLst>
        </c:ser>
        <c:dLbls>
          <c:showLegendKey val="0"/>
          <c:showVal val="0"/>
          <c:showCatName val="0"/>
          <c:showSerName val="0"/>
          <c:showPercent val="0"/>
          <c:showBubbleSize val="0"/>
        </c:dLbls>
        <c:gapWidth val="219"/>
        <c:overlap val="-27"/>
        <c:axId val="-1497284176"/>
        <c:axId val="-1497280368"/>
      </c:barChart>
      <c:catAx>
        <c:axId val="-149728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7280368"/>
        <c:crosses val="autoZero"/>
        <c:auto val="1"/>
        <c:lblAlgn val="ctr"/>
        <c:lblOffset val="100"/>
        <c:noMultiLvlLbl val="0"/>
      </c:catAx>
      <c:valAx>
        <c:axId val="-149728036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7284176"/>
        <c:crosses val="autoZero"/>
        <c:crossBetween val="between"/>
      </c:valAx>
      <c:spPr>
        <a:noFill/>
        <a:ln>
          <a:noFill/>
        </a:ln>
        <a:effectLst/>
      </c:spPr>
    </c:plotArea>
    <c:legend>
      <c:legendPos val="b"/>
      <c:legendEntry>
        <c:idx val="2"/>
        <c:delete val="1"/>
      </c:legendEntry>
      <c:layout>
        <c:manualLayout>
          <c:xMode val="edge"/>
          <c:yMode val="edge"/>
          <c:x val="0.10383556935649792"/>
          <c:y val="0.84022009939112952"/>
          <c:w val="0.79232886128700419"/>
          <c:h val="0.10656847559353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9178-B732-41D6-9082-F61D8776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5828</Words>
  <Characters>33221</Characters>
  <Application>Microsoft Office Word</Application>
  <DocSecurity>0</DocSecurity>
  <Lines>276</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38972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rusni hassan</cp:lastModifiedBy>
  <cp:revision>2</cp:revision>
  <cp:lastPrinted>2021-10-21T03:35:00Z</cp:lastPrinted>
  <dcterms:created xsi:type="dcterms:W3CDTF">2021-11-08T06:20:00Z</dcterms:created>
  <dcterms:modified xsi:type="dcterms:W3CDTF">2021-11-08T06:20:00Z</dcterms:modified>
</cp:coreProperties>
</file>