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4E9F88" w14:textId="26CC7FEE" w:rsidR="00C526E0" w:rsidRPr="00CD58E8" w:rsidRDefault="00C526E0" w:rsidP="00C526E0">
      <w:pPr>
        <w:spacing w:line="276" w:lineRule="auto"/>
        <w:rPr>
          <w:rFonts w:ascii="Bookman Old Style" w:hAnsi="Bookman Old Style" w:cs="Times New Roman"/>
          <w:b/>
          <w:bCs/>
          <w:sz w:val="24"/>
          <w:szCs w:val="24"/>
        </w:rPr>
      </w:pPr>
      <w:bookmarkStart w:id="0" w:name="_Hlk74609496"/>
      <w:r w:rsidRPr="00CD58E8">
        <w:rPr>
          <w:rFonts w:ascii="Bookman Old Style" w:hAnsi="Bookman Old Style" w:cs="Times New Roman"/>
          <w:b/>
          <w:bCs/>
          <w:sz w:val="24"/>
          <w:szCs w:val="24"/>
        </w:rPr>
        <w:t>A survey on the knowledge of proper breastfeeding practice and the existence of galactagogue food in habitual diet: a comparison between health science and non-health science female students</w:t>
      </w:r>
    </w:p>
    <w:p w14:paraId="10CDB3DC" w14:textId="40B3F3E8" w:rsidR="00092698" w:rsidRPr="00CD58E8" w:rsidRDefault="00C526E0" w:rsidP="00645B33">
      <w:pPr>
        <w:spacing w:before="240" w:after="240" w:line="240" w:lineRule="auto"/>
        <w:jc w:val="both"/>
        <w:rPr>
          <w:rFonts w:ascii="Bookman Old Style" w:eastAsia="Times New Roman" w:hAnsi="Bookman Old Style" w:cs="Times New Roman"/>
          <w:b/>
          <w:bCs/>
          <w:i/>
          <w:iCs/>
          <w:sz w:val="18"/>
          <w:szCs w:val="18"/>
          <w:shd w:val="clear" w:color="auto" w:fill="FFFFFF"/>
          <w:vertAlign w:val="superscript"/>
          <w:lang w:eastAsia="en-MY"/>
        </w:rPr>
      </w:pPr>
      <w:proofErr w:type="spellStart"/>
      <w:r w:rsidRPr="00CD58E8">
        <w:rPr>
          <w:rFonts w:ascii="Bookman Old Style" w:eastAsia="Times New Roman" w:hAnsi="Bookman Old Style" w:cs="Times New Roman"/>
          <w:b/>
          <w:bCs/>
          <w:i/>
          <w:iCs/>
          <w:sz w:val="18"/>
          <w:szCs w:val="18"/>
          <w:u w:val="single"/>
          <w:shd w:val="clear" w:color="auto" w:fill="FFFFFF"/>
          <w:lang w:eastAsia="en-MY"/>
        </w:rPr>
        <w:t>S</w:t>
      </w:r>
      <w:r w:rsidR="0077028A">
        <w:rPr>
          <w:rFonts w:ascii="Bookman Old Style" w:eastAsia="Times New Roman" w:hAnsi="Bookman Old Style" w:cs="Times New Roman"/>
          <w:b/>
          <w:bCs/>
          <w:i/>
          <w:iCs/>
          <w:sz w:val="18"/>
          <w:szCs w:val="18"/>
          <w:u w:val="single"/>
          <w:shd w:val="clear" w:color="auto" w:fill="FFFFFF"/>
          <w:lang w:eastAsia="en-MY"/>
        </w:rPr>
        <w:t>ukri</w:t>
      </w:r>
      <w:proofErr w:type="spellEnd"/>
      <w:r w:rsidR="0077028A">
        <w:rPr>
          <w:rFonts w:ascii="Bookman Old Style" w:eastAsia="Times New Roman" w:hAnsi="Bookman Old Style" w:cs="Times New Roman"/>
          <w:b/>
          <w:bCs/>
          <w:i/>
          <w:iCs/>
          <w:sz w:val="18"/>
          <w:szCs w:val="18"/>
          <w:u w:val="single"/>
          <w:shd w:val="clear" w:color="auto" w:fill="FFFFFF"/>
          <w:lang w:eastAsia="en-MY"/>
        </w:rPr>
        <w:t>, A</w:t>
      </w:r>
      <w:r w:rsidR="00092698" w:rsidRPr="00CD58E8">
        <w:rPr>
          <w:rFonts w:ascii="Bookman Old Style" w:eastAsia="Times New Roman" w:hAnsi="Bookman Old Style" w:cs="Times New Roman"/>
          <w:b/>
          <w:bCs/>
          <w:i/>
          <w:iCs/>
          <w:sz w:val="18"/>
          <w:szCs w:val="18"/>
          <w:u w:val="single"/>
          <w:shd w:val="clear" w:color="auto" w:fill="FFFFFF"/>
          <w:vertAlign w:val="superscript"/>
          <w:lang w:eastAsia="en-MY"/>
        </w:rPr>
        <w:t>1</w:t>
      </w:r>
      <w:r w:rsidRPr="00CD58E8">
        <w:rPr>
          <w:rFonts w:ascii="Bookman Old Style" w:eastAsia="Times New Roman" w:hAnsi="Bookman Old Style" w:cs="Times New Roman"/>
          <w:b/>
          <w:bCs/>
          <w:i/>
          <w:iCs/>
          <w:sz w:val="18"/>
          <w:szCs w:val="18"/>
          <w:u w:val="single"/>
          <w:shd w:val="clear" w:color="auto" w:fill="FFFFFF"/>
          <w:lang w:eastAsia="en-MY"/>
        </w:rPr>
        <w:t>,</w:t>
      </w:r>
      <w:r w:rsidRPr="00CD58E8">
        <w:rPr>
          <w:rFonts w:ascii="Bookman Old Style" w:eastAsia="Times New Roman" w:hAnsi="Bookman Old Style" w:cs="Times New Roman"/>
          <w:b/>
          <w:bCs/>
          <w:i/>
          <w:iCs/>
          <w:sz w:val="18"/>
          <w:szCs w:val="18"/>
          <w:shd w:val="clear" w:color="auto" w:fill="FFFFFF"/>
          <w:lang w:eastAsia="en-MY"/>
        </w:rPr>
        <w:t xml:space="preserve"> </w:t>
      </w:r>
      <w:r w:rsidR="0077028A">
        <w:rPr>
          <w:rFonts w:ascii="Bookman Old Style" w:eastAsia="Times New Roman" w:hAnsi="Bookman Old Style" w:cs="Times New Roman"/>
          <w:b/>
          <w:bCs/>
          <w:i/>
          <w:iCs/>
          <w:sz w:val="18"/>
          <w:szCs w:val="18"/>
          <w:shd w:val="clear" w:color="auto" w:fill="FFFFFF"/>
          <w:lang w:eastAsia="en-MY"/>
        </w:rPr>
        <w:t>Khattak, M</w:t>
      </w:r>
      <w:r w:rsidRPr="00CD58E8">
        <w:rPr>
          <w:rFonts w:ascii="Bookman Old Style" w:eastAsia="Times New Roman" w:hAnsi="Bookman Old Style" w:cs="Times New Roman"/>
          <w:b/>
          <w:bCs/>
          <w:i/>
          <w:iCs/>
          <w:sz w:val="18"/>
          <w:szCs w:val="18"/>
          <w:shd w:val="clear" w:color="auto" w:fill="FFFFFF"/>
          <w:lang w:eastAsia="en-MY"/>
        </w:rPr>
        <w:t>MAKK</w:t>
      </w:r>
      <w:r w:rsidR="00092698" w:rsidRPr="00CD58E8">
        <w:rPr>
          <w:rFonts w:ascii="Bookman Old Style" w:eastAsia="Times New Roman" w:hAnsi="Bookman Old Style" w:cs="Times New Roman"/>
          <w:b/>
          <w:bCs/>
          <w:i/>
          <w:iCs/>
          <w:sz w:val="18"/>
          <w:szCs w:val="18"/>
          <w:shd w:val="clear" w:color="auto" w:fill="FFFFFF"/>
          <w:vertAlign w:val="superscript"/>
          <w:lang w:eastAsia="en-MY"/>
        </w:rPr>
        <w:t>1</w:t>
      </w:r>
    </w:p>
    <w:p w14:paraId="58FFDE66" w14:textId="3B133D2B" w:rsidR="00092698" w:rsidRPr="00CD58E8" w:rsidRDefault="00092698" w:rsidP="00645B33">
      <w:pPr>
        <w:spacing w:before="240" w:after="240" w:line="240" w:lineRule="auto"/>
        <w:jc w:val="both"/>
        <w:rPr>
          <w:rFonts w:ascii="Bookman Old Style" w:eastAsia="Times New Roman" w:hAnsi="Bookman Old Style" w:cs="Times New Roman"/>
          <w:i/>
          <w:iCs/>
          <w:sz w:val="18"/>
          <w:szCs w:val="18"/>
          <w:shd w:val="clear" w:color="auto" w:fill="FFFFFF"/>
          <w:lang w:eastAsia="en-MY"/>
        </w:rPr>
      </w:pPr>
      <w:r w:rsidRPr="00CD58E8">
        <w:rPr>
          <w:rFonts w:ascii="Bookman Old Style" w:eastAsia="Times New Roman" w:hAnsi="Bookman Old Style" w:cs="Times New Roman"/>
          <w:i/>
          <w:iCs/>
          <w:sz w:val="18"/>
          <w:szCs w:val="18"/>
          <w:shd w:val="clear" w:color="auto" w:fill="FFFFFF"/>
          <w:vertAlign w:val="superscript"/>
          <w:lang w:eastAsia="en-MY"/>
        </w:rPr>
        <w:t>1</w:t>
      </w:r>
      <w:r w:rsidRPr="00CD58E8">
        <w:rPr>
          <w:rFonts w:ascii="Bookman Old Style" w:eastAsia="Times New Roman" w:hAnsi="Bookman Old Style" w:cs="Times New Roman"/>
          <w:i/>
          <w:iCs/>
          <w:sz w:val="18"/>
          <w:szCs w:val="18"/>
          <w:shd w:val="clear" w:color="auto" w:fill="FFFFFF"/>
          <w:lang w:eastAsia="en-MY"/>
        </w:rPr>
        <w:t>Department of Nutrition Sciences, Kulliyyah of Allied Health Sciences, International Islamic University Malaysia Kuantan</w:t>
      </w:r>
    </w:p>
    <w:p w14:paraId="50E65F72" w14:textId="7F12E3FE" w:rsidR="00645B33" w:rsidRPr="00CD58E8" w:rsidRDefault="00645B33" w:rsidP="00CD58E8">
      <w:pPr>
        <w:spacing w:before="240" w:after="240" w:line="240" w:lineRule="auto"/>
        <w:jc w:val="both"/>
        <w:rPr>
          <w:rFonts w:ascii="Bookman Old Style" w:eastAsia="Times New Roman" w:hAnsi="Bookman Old Style" w:cs="Times New Roman"/>
          <w:sz w:val="18"/>
          <w:szCs w:val="18"/>
          <w:lang w:eastAsia="en-MY"/>
        </w:rPr>
      </w:pPr>
      <w:bookmarkStart w:id="1" w:name="_GoBack"/>
      <w:r w:rsidRPr="00CD58E8">
        <w:rPr>
          <w:rFonts w:ascii="Bookman Old Style" w:eastAsia="Times New Roman" w:hAnsi="Bookman Old Style" w:cs="Times New Roman"/>
          <w:sz w:val="18"/>
          <w:szCs w:val="18"/>
          <w:shd w:val="clear" w:color="auto" w:fill="FFFFFF"/>
          <w:lang w:eastAsia="en-MY"/>
        </w:rPr>
        <w:t xml:space="preserve">Stunting is one of the silent pandemics that has affected 21.3% of the world population aged below 5 years. </w:t>
      </w:r>
      <w:r w:rsidRPr="00CD58E8">
        <w:rPr>
          <w:rFonts w:ascii="Bookman Old Style" w:eastAsia="Times New Roman" w:hAnsi="Bookman Old Style" w:cs="Times New Roman"/>
          <w:sz w:val="18"/>
          <w:szCs w:val="18"/>
          <w:lang w:eastAsia="en-MY"/>
        </w:rPr>
        <w:t xml:space="preserve">Breastfeeding is one of the practices that contributes to the reduction in rate of stunting prevalence. Food that contains galactogenic properties can be the alternatives to stimulate breast milk supply and prevent early cessation of breastfeeding. Hence, this study intended to assess and compare the level of knowledge among IIUM health and non-health sciences female students on the proper breastfeeding practice and the existence of galactagogue food in the routine dietary intakes. This </w:t>
      </w:r>
      <w:r w:rsidR="0077028A">
        <w:rPr>
          <w:rFonts w:ascii="Bookman Old Style" w:eastAsia="Times New Roman" w:hAnsi="Bookman Old Style" w:cs="Times New Roman"/>
          <w:sz w:val="18"/>
          <w:szCs w:val="18"/>
          <w:lang w:eastAsia="en-MY"/>
        </w:rPr>
        <w:t xml:space="preserve">was a </w:t>
      </w:r>
      <w:r w:rsidRPr="00CD58E8">
        <w:rPr>
          <w:rFonts w:ascii="Bookman Old Style" w:eastAsia="Times New Roman" w:hAnsi="Bookman Old Style" w:cs="Times New Roman"/>
          <w:sz w:val="18"/>
          <w:szCs w:val="18"/>
          <w:lang w:eastAsia="en-MY"/>
        </w:rPr>
        <w:t>cross-sectional study involv</w:t>
      </w:r>
      <w:r w:rsidR="0077028A">
        <w:rPr>
          <w:rFonts w:ascii="Bookman Old Style" w:eastAsia="Times New Roman" w:hAnsi="Bookman Old Style" w:cs="Times New Roman"/>
          <w:sz w:val="18"/>
          <w:szCs w:val="18"/>
          <w:lang w:eastAsia="en-MY"/>
        </w:rPr>
        <w:t>ing</w:t>
      </w:r>
      <w:r w:rsidRPr="00CD58E8">
        <w:rPr>
          <w:rFonts w:ascii="Bookman Old Style" w:eastAsia="Times New Roman" w:hAnsi="Bookman Old Style" w:cs="Times New Roman"/>
          <w:sz w:val="18"/>
          <w:szCs w:val="18"/>
          <w:lang w:eastAsia="en-MY"/>
        </w:rPr>
        <w:t xml:space="preserve"> 110 IIUM female students where 54 of them were health science and 56 of them were non-health science students. Self-administered questionnaires were adapted from previous studies as research instruments. The results</w:t>
      </w:r>
      <w:r w:rsidR="00C526E0" w:rsidRPr="00CD58E8">
        <w:rPr>
          <w:rFonts w:ascii="Bookman Old Style" w:eastAsia="Times New Roman" w:hAnsi="Bookman Old Style" w:cs="Times New Roman"/>
          <w:sz w:val="18"/>
          <w:szCs w:val="18"/>
          <w:lang w:eastAsia="en-MY"/>
        </w:rPr>
        <w:t xml:space="preserve"> of the study</w:t>
      </w:r>
      <w:r w:rsidRPr="00CD58E8">
        <w:rPr>
          <w:rFonts w:ascii="Bookman Old Style" w:eastAsia="Times New Roman" w:hAnsi="Bookman Old Style" w:cs="Times New Roman"/>
          <w:sz w:val="18"/>
          <w:szCs w:val="18"/>
          <w:lang w:eastAsia="en-MY"/>
        </w:rPr>
        <w:t xml:space="preserve"> indicates that on overall,</w:t>
      </w:r>
      <w:r w:rsidRPr="00CD58E8">
        <w:rPr>
          <w:rFonts w:ascii="Bookman Old Style" w:eastAsia="Times New Roman" w:hAnsi="Bookman Old Style" w:cs="Times New Roman"/>
          <w:b/>
          <w:bCs/>
          <w:sz w:val="18"/>
          <w:szCs w:val="18"/>
          <w:lang w:eastAsia="en-MY"/>
        </w:rPr>
        <w:t xml:space="preserve"> </w:t>
      </w:r>
      <w:r w:rsidRPr="00CD58E8">
        <w:rPr>
          <w:rFonts w:ascii="Bookman Old Style" w:eastAsia="Times New Roman" w:hAnsi="Bookman Old Style" w:cs="Times New Roman"/>
          <w:sz w:val="18"/>
          <w:szCs w:val="18"/>
          <w:lang w:eastAsia="en-MY"/>
        </w:rPr>
        <w:t xml:space="preserve">50% (n=55) of the respondents had poor knowledge on breastfeeding practice followed by 23.6% (n=26) of them categorised as having intermediate level of knowledge. Only 26.4% (n=29) of them met the mark of having high level of knowledge. Meanwhile, 63.6% (n=70) of the respondents were having poor knowledge on galactagogue food, 21.8% (n=24) in the group with intermediate knowledge and only 14.5% (n=16) met the knowledge score of higher level of knowledge. Among the respondents, the health science group (7.65 ± 0.329) demonstrated significantly (P&lt;0.001) better knowledge scores of breastfeeding practices compared to the non-health science group. </w:t>
      </w:r>
      <w:r w:rsidR="00CD58E8" w:rsidRPr="00CD58E8">
        <w:rPr>
          <w:rFonts w:ascii="Bookman Old Style" w:eastAsia="Times New Roman" w:hAnsi="Bookman Old Style" w:cs="Times New Roman"/>
          <w:sz w:val="18"/>
          <w:szCs w:val="18"/>
          <w:lang w:eastAsia="en-MY"/>
        </w:rPr>
        <w:t xml:space="preserve">Meanwhile, there is no significant difference for knowledge score on the galactagogue food, despite non-health science female students (4.70 ± 2.456) attaining higher scores than health science female students (4.15 ± 2.736). </w:t>
      </w:r>
      <w:r w:rsidRPr="00CD58E8">
        <w:rPr>
          <w:rFonts w:ascii="Bookman Old Style" w:eastAsia="Times New Roman" w:hAnsi="Bookman Old Style" w:cs="Times New Roman"/>
          <w:sz w:val="18"/>
          <w:szCs w:val="18"/>
          <w:lang w:eastAsia="en-MY"/>
        </w:rPr>
        <w:t>Prior exposure to accurate breastfeeding knowledge should be increased among female university students to ensure they are well-prepared for their motherhood journey and carry out proper breastfeeding practices in future. </w:t>
      </w:r>
    </w:p>
    <w:bookmarkEnd w:id="0"/>
    <w:p w14:paraId="30E876D3" w14:textId="77777777" w:rsidR="00645B33" w:rsidRPr="00092698" w:rsidRDefault="00645B33" w:rsidP="00645B33">
      <w:pPr>
        <w:jc w:val="center"/>
        <w:rPr>
          <w:rFonts w:ascii="Bookman Old Style" w:hAnsi="Bookman Old Style" w:cs="Times New Roman"/>
          <w:b/>
          <w:bCs/>
          <w:sz w:val="18"/>
          <w:szCs w:val="18"/>
          <w:lang w:val="en-US"/>
        </w:rPr>
      </w:pPr>
    </w:p>
    <w:bookmarkEnd w:id="1"/>
    <w:p w14:paraId="4F96E4BA" w14:textId="77777777" w:rsidR="00645B33" w:rsidRDefault="00645B33"/>
    <w:sectPr w:rsidR="00645B3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B33"/>
    <w:rsid w:val="00092698"/>
    <w:rsid w:val="00193D27"/>
    <w:rsid w:val="00645B33"/>
    <w:rsid w:val="0077028A"/>
    <w:rsid w:val="00A326B6"/>
    <w:rsid w:val="00C526E0"/>
    <w:rsid w:val="00CD58E8"/>
  </w:rsids>
  <m:mathPr>
    <m:mathFont m:val="Cambria Math"/>
    <m:brkBin m:val="before"/>
    <m:brkBinSub m:val="--"/>
    <m:smallFrac m:val="0"/>
    <m:dispDef/>
    <m:lMargin m:val="0"/>
    <m:rMargin m:val="0"/>
    <m:defJc m:val="centerGroup"/>
    <m:wrapIndent m:val="1440"/>
    <m:intLim m:val="subSup"/>
    <m:naryLim m:val="undOvr"/>
  </m:mathPr>
  <w:themeFontLang w:val="en-MY"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01EFD"/>
  <w15:chartTrackingRefBased/>
  <w15:docId w15:val="{6EE456FE-B8B4-4C10-818D-DBD448C41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5B33"/>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02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02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4224900">
      <w:bodyDiv w:val="1"/>
      <w:marLeft w:val="0"/>
      <w:marRight w:val="0"/>
      <w:marTop w:val="0"/>
      <w:marBottom w:val="0"/>
      <w:divBdr>
        <w:top w:val="none" w:sz="0" w:space="0" w:color="auto"/>
        <w:left w:val="none" w:sz="0" w:space="0" w:color="auto"/>
        <w:bottom w:val="none" w:sz="0" w:space="0" w:color="auto"/>
        <w:right w:val="none" w:sz="0" w:space="0" w:color="auto"/>
      </w:divBdr>
    </w:div>
    <w:div w:id="1148136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0688AB-B8EF-4285-B240-15D232FE3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348</Words>
  <Characters>1989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Nurul Afifah</dc:creator>
  <cp:keywords/>
  <dc:description/>
  <cp:lastModifiedBy>Muhammad Khattak</cp:lastModifiedBy>
  <cp:revision>3</cp:revision>
  <dcterms:created xsi:type="dcterms:W3CDTF">2021-07-28T02:05:00Z</dcterms:created>
  <dcterms:modified xsi:type="dcterms:W3CDTF">2021-10-15T03:18:00Z</dcterms:modified>
</cp:coreProperties>
</file>