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56" w:rsidRPr="00304F56" w:rsidRDefault="00AA2A11" w:rsidP="002D76EA">
      <w:pPr>
        <w:pStyle w:val="Header"/>
        <w:tabs>
          <w:tab w:val="left" w:pos="8640"/>
        </w:tabs>
        <w:jc w:val="both"/>
        <w:rPr>
          <w:rFonts w:ascii="Arial" w:hAnsi="Arial" w:cs="Arial"/>
          <w:sz w:val="18"/>
          <w:szCs w:val="18"/>
        </w:rPr>
      </w:pPr>
      <w:bookmarkStart w:id="0" w:name="_GoBack"/>
      <w:r>
        <w:rPr>
          <w:rFonts w:ascii="Arial" w:hAnsi="Arial" w:cs="Arial"/>
          <w:noProof/>
        </w:rPr>
        <w:pict>
          <v:shape id="_x0000_s1108" type="#_x0000_t75" style="position:absolute;left:0;text-align:left;margin-left:11.05pt;margin-top:-20.3pt;width:71.35pt;height:66pt;z-index:251656704">
            <v:imagedata r:id="rId9" o:title="" gain="1.5625"/>
            <w10:wrap side="left"/>
          </v:shape>
          <o:OLEObject Type="Embed" ProgID="PBrush" ShapeID="_x0000_s1108" DrawAspect="Content" ObjectID="_1572443721" r:id="rId10"/>
        </w:pict>
      </w:r>
      <w:bookmarkEnd w:id="0"/>
    </w:p>
    <w:p w:rsidR="00304F56" w:rsidRPr="00304F56" w:rsidRDefault="00304F56" w:rsidP="002D76EA">
      <w:pPr>
        <w:pStyle w:val="Header"/>
        <w:tabs>
          <w:tab w:val="left" w:pos="8640"/>
        </w:tabs>
        <w:ind w:left="180"/>
        <w:jc w:val="both"/>
        <w:rPr>
          <w:rFonts w:ascii="Arial" w:hAnsi="Arial" w:cs="Arial"/>
          <w:sz w:val="18"/>
          <w:szCs w:val="18"/>
        </w:rPr>
      </w:pPr>
      <w:r w:rsidRPr="00304F56">
        <w:rPr>
          <w:rFonts w:ascii="Arial" w:hAnsi="Arial" w:cs="Arial"/>
          <w:sz w:val="18"/>
          <w:szCs w:val="18"/>
        </w:rPr>
        <w:tab/>
      </w:r>
      <w:r w:rsidRPr="00304F56">
        <w:rPr>
          <w:rFonts w:ascii="Arial" w:hAnsi="Arial" w:cs="Arial"/>
          <w:sz w:val="18"/>
          <w:szCs w:val="18"/>
        </w:rPr>
        <w:tab/>
      </w:r>
    </w:p>
    <w:p w:rsidR="00304F56" w:rsidRPr="00304F56" w:rsidRDefault="00304F56" w:rsidP="002D76EA">
      <w:pPr>
        <w:pStyle w:val="Header"/>
        <w:tabs>
          <w:tab w:val="left" w:pos="8640"/>
        </w:tabs>
        <w:jc w:val="both"/>
        <w:rPr>
          <w:rFonts w:ascii="Arial" w:hAnsi="Arial" w:cs="Arial"/>
          <w:sz w:val="18"/>
          <w:szCs w:val="18"/>
        </w:rPr>
      </w:pPr>
      <w:r w:rsidRPr="00304F56">
        <w:rPr>
          <w:rFonts w:ascii="Arial" w:hAnsi="Arial" w:cs="Arial"/>
          <w:sz w:val="18"/>
          <w:szCs w:val="18"/>
        </w:rPr>
        <w:tab/>
      </w:r>
      <w:r w:rsidRPr="00304F56">
        <w:rPr>
          <w:rFonts w:ascii="Arial" w:hAnsi="Arial" w:cs="Arial"/>
          <w:sz w:val="18"/>
          <w:szCs w:val="18"/>
        </w:rPr>
        <w:tab/>
      </w:r>
      <w:r w:rsidRPr="00304F56">
        <w:rPr>
          <w:rFonts w:ascii="Arial" w:hAnsi="Arial" w:cs="Arial"/>
          <w:sz w:val="18"/>
          <w:szCs w:val="18"/>
        </w:rPr>
        <w:tab/>
      </w:r>
    </w:p>
    <w:p w:rsidR="00135562" w:rsidRPr="00304F56" w:rsidRDefault="00135562" w:rsidP="002D76EA">
      <w:pPr>
        <w:jc w:val="both"/>
        <w:rPr>
          <w:rFonts w:ascii="Arial" w:hAnsi="Arial" w:cs="Arial"/>
        </w:rPr>
      </w:pPr>
    </w:p>
    <w:p w:rsidR="00135562" w:rsidRPr="00304F56" w:rsidRDefault="00135562" w:rsidP="002D76EA">
      <w:pPr>
        <w:jc w:val="both"/>
        <w:rPr>
          <w:rFonts w:ascii="Arial" w:hAnsi="Arial" w:cs="Arial"/>
        </w:rPr>
      </w:pPr>
    </w:p>
    <w:p w:rsidR="00135562" w:rsidRPr="00304F56" w:rsidRDefault="00135562" w:rsidP="002D76EA">
      <w:pPr>
        <w:ind w:left="1080"/>
        <w:jc w:val="both"/>
        <w:rPr>
          <w:rFonts w:ascii="Arial" w:hAnsi="Arial" w:cs="Arial"/>
          <w:b/>
        </w:rPr>
      </w:pPr>
      <w:r w:rsidRPr="00304F56">
        <w:rPr>
          <w:rFonts w:ascii="Arial" w:hAnsi="Arial" w:cs="Arial"/>
          <w:b/>
        </w:rPr>
        <w:t>RESEARCH MANAGEMENT CENTRE</w:t>
      </w:r>
    </w:p>
    <w:p w:rsidR="00135562" w:rsidRPr="00304F56" w:rsidRDefault="00135562" w:rsidP="002D76EA">
      <w:pPr>
        <w:ind w:left="1080"/>
        <w:jc w:val="both"/>
        <w:rPr>
          <w:rFonts w:ascii="Arial" w:hAnsi="Arial" w:cs="Arial"/>
        </w:rPr>
      </w:pPr>
      <w:r w:rsidRPr="00304F56">
        <w:rPr>
          <w:rFonts w:ascii="Arial" w:hAnsi="Arial" w:cs="Arial"/>
          <w:b/>
        </w:rPr>
        <w:t>INTERNATIONAL ISLAMIC UNIVERSITY MALAYSIA</w:t>
      </w:r>
    </w:p>
    <w:p w:rsidR="00135562" w:rsidRPr="00304F56" w:rsidRDefault="00135562" w:rsidP="002D76EA">
      <w:pPr>
        <w:ind w:left="1080"/>
        <w:jc w:val="both"/>
        <w:rPr>
          <w:rFonts w:ascii="Arial" w:hAnsi="Arial" w:cs="Arial"/>
        </w:rPr>
      </w:pPr>
    </w:p>
    <w:p w:rsidR="00135562" w:rsidRPr="00304F56" w:rsidRDefault="00135562" w:rsidP="002D76EA">
      <w:pPr>
        <w:ind w:left="1080"/>
        <w:jc w:val="both"/>
        <w:rPr>
          <w:rFonts w:ascii="Arial" w:hAnsi="Arial" w:cs="Arial"/>
        </w:rPr>
      </w:pPr>
    </w:p>
    <w:p w:rsidR="00135562" w:rsidRPr="00304F56" w:rsidRDefault="00135562" w:rsidP="002D76EA">
      <w:pPr>
        <w:ind w:left="720"/>
        <w:jc w:val="both"/>
        <w:rPr>
          <w:rFonts w:ascii="Arial" w:hAnsi="Arial" w:cs="Arial"/>
          <w:b/>
          <w:sz w:val="28"/>
          <w:szCs w:val="28"/>
        </w:rPr>
      </w:pPr>
    </w:p>
    <w:p w:rsidR="00135562" w:rsidRPr="00304F56" w:rsidRDefault="00135562" w:rsidP="002D76EA">
      <w:pPr>
        <w:jc w:val="both"/>
        <w:rPr>
          <w:rFonts w:ascii="Arial" w:hAnsi="Arial" w:cs="Arial"/>
        </w:rPr>
      </w:pPr>
    </w:p>
    <w:p w:rsidR="00135562" w:rsidRPr="00304F56" w:rsidRDefault="00135562" w:rsidP="002D76EA">
      <w:pPr>
        <w:jc w:val="both"/>
        <w:rPr>
          <w:rFonts w:ascii="Arial" w:hAnsi="Arial" w:cs="Arial"/>
          <w:b/>
          <w:sz w:val="28"/>
          <w:szCs w:val="32"/>
        </w:rPr>
      </w:pPr>
      <w:r w:rsidRPr="00304F56">
        <w:rPr>
          <w:rFonts w:ascii="Arial" w:hAnsi="Arial" w:cs="Arial"/>
          <w:b/>
          <w:sz w:val="28"/>
          <w:szCs w:val="32"/>
        </w:rPr>
        <w:t>CHECKLIST FOR COMPLETION OF RESEARCH PROJECT</w:t>
      </w:r>
    </w:p>
    <w:p w:rsidR="00135562" w:rsidRPr="00304F56" w:rsidRDefault="00135562" w:rsidP="002D76EA">
      <w:pPr>
        <w:jc w:val="both"/>
        <w:rPr>
          <w:rFonts w:ascii="Arial" w:hAnsi="Arial" w:cs="Arial"/>
        </w:rPr>
      </w:pPr>
    </w:p>
    <w:p w:rsidR="00135562" w:rsidRPr="00304F56" w:rsidRDefault="00135562" w:rsidP="002D76EA">
      <w:pPr>
        <w:jc w:val="both"/>
        <w:rPr>
          <w:rFonts w:ascii="Arial" w:hAnsi="Arial" w:cs="Arial"/>
        </w:rPr>
      </w:pPr>
    </w:p>
    <w:tbl>
      <w:tblPr>
        <w:tblW w:w="8388" w:type="dxa"/>
        <w:tblInd w:w="37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738"/>
        <w:gridCol w:w="6570"/>
        <w:gridCol w:w="1080"/>
      </w:tblGrid>
      <w:tr w:rsidR="00135562" w:rsidRPr="00304F56" w:rsidTr="00304F56">
        <w:tc>
          <w:tcPr>
            <w:tcW w:w="738" w:type="dxa"/>
            <w:shd w:val="clear" w:color="auto" w:fill="8DB3E2"/>
            <w:vAlign w:val="center"/>
          </w:tcPr>
          <w:p w:rsidR="00135562" w:rsidRPr="00304F56" w:rsidRDefault="00135562" w:rsidP="002D76EA">
            <w:pPr>
              <w:spacing w:before="120" w:after="120"/>
              <w:jc w:val="both"/>
              <w:rPr>
                <w:rFonts w:ascii="Arial" w:hAnsi="Arial" w:cs="Arial"/>
                <w:b/>
              </w:rPr>
            </w:pPr>
            <w:r w:rsidRPr="00304F56">
              <w:rPr>
                <w:rFonts w:ascii="Arial" w:hAnsi="Arial" w:cs="Arial"/>
                <w:b/>
              </w:rPr>
              <w:t>NO.</w:t>
            </w:r>
          </w:p>
        </w:tc>
        <w:tc>
          <w:tcPr>
            <w:tcW w:w="6570" w:type="dxa"/>
            <w:shd w:val="clear" w:color="auto" w:fill="8DB3E2"/>
            <w:vAlign w:val="center"/>
          </w:tcPr>
          <w:p w:rsidR="00135562" w:rsidRPr="00304F56" w:rsidRDefault="00135562" w:rsidP="002D76EA">
            <w:pPr>
              <w:spacing w:before="120" w:after="120"/>
              <w:jc w:val="both"/>
              <w:rPr>
                <w:rFonts w:ascii="Arial" w:hAnsi="Arial" w:cs="Arial"/>
                <w:b/>
              </w:rPr>
            </w:pPr>
            <w:r w:rsidRPr="00304F56">
              <w:rPr>
                <w:rFonts w:ascii="Arial" w:hAnsi="Arial" w:cs="Arial"/>
                <w:b/>
              </w:rPr>
              <w:t>ITEMS</w:t>
            </w:r>
          </w:p>
        </w:tc>
        <w:tc>
          <w:tcPr>
            <w:tcW w:w="1080" w:type="dxa"/>
            <w:shd w:val="clear" w:color="auto" w:fill="8DB3E2"/>
            <w:vAlign w:val="center"/>
          </w:tcPr>
          <w:p w:rsidR="00135562" w:rsidRPr="00304F56" w:rsidRDefault="00135562" w:rsidP="002D76EA">
            <w:pPr>
              <w:spacing w:before="120" w:after="120"/>
              <w:jc w:val="both"/>
              <w:rPr>
                <w:rFonts w:ascii="Arial" w:hAnsi="Arial" w:cs="Arial"/>
                <w:b/>
              </w:rPr>
            </w:pPr>
            <w:r w:rsidRPr="00304F56">
              <w:rPr>
                <w:rFonts w:ascii="Arial" w:hAnsi="Arial" w:cs="Arial"/>
                <w:b/>
              </w:rPr>
              <w:sym w:font="Wingdings" w:char="F0FC"/>
            </w:r>
          </w:p>
        </w:tc>
      </w:tr>
      <w:tr w:rsidR="00135562" w:rsidRPr="00304F56" w:rsidTr="00304F56">
        <w:trPr>
          <w:trHeight w:val="1152"/>
        </w:trPr>
        <w:tc>
          <w:tcPr>
            <w:tcW w:w="738" w:type="dxa"/>
            <w:vAlign w:val="center"/>
          </w:tcPr>
          <w:p w:rsidR="00135562" w:rsidRPr="00304F56" w:rsidRDefault="00135562" w:rsidP="002D76EA">
            <w:pPr>
              <w:spacing w:before="120" w:after="120"/>
              <w:jc w:val="both"/>
              <w:rPr>
                <w:rFonts w:ascii="Arial" w:hAnsi="Arial" w:cs="Arial"/>
              </w:rPr>
            </w:pPr>
            <w:r w:rsidRPr="00304F56">
              <w:rPr>
                <w:rFonts w:ascii="Arial" w:hAnsi="Arial" w:cs="Arial"/>
              </w:rPr>
              <w:t>1.</w:t>
            </w:r>
          </w:p>
        </w:tc>
        <w:tc>
          <w:tcPr>
            <w:tcW w:w="6570" w:type="dxa"/>
            <w:vAlign w:val="center"/>
          </w:tcPr>
          <w:p w:rsidR="00135562" w:rsidRPr="00304F56" w:rsidRDefault="00135562" w:rsidP="002D76EA">
            <w:pPr>
              <w:spacing w:before="120" w:after="120"/>
              <w:jc w:val="both"/>
              <w:rPr>
                <w:rFonts w:ascii="Arial" w:hAnsi="Arial" w:cs="Arial"/>
              </w:rPr>
            </w:pPr>
            <w:r w:rsidRPr="00304F56">
              <w:rPr>
                <w:rFonts w:ascii="Arial" w:hAnsi="Arial" w:cs="Arial"/>
              </w:rPr>
              <w:t>End of Project Report Form</w:t>
            </w:r>
          </w:p>
        </w:tc>
        <w:tc>
          <w:tcPr>
            <w:tcW w:w="1080" w:type="dxa"/>
            <w:vAlign w:val="center"/>
          </w:tcPr>
          <w:p w:rsidR="00135562" w:rsidRPr="00304F56" w:rsidRDefault="0002063D" w:rsidP="002D76EA">
            <w:pPr>
              <w:spacing w:before="120" w:after="120"/>
              <w:jc w:val="both"/>
              <w:rPr>
                <w:rFonts w:ascii="Arial" w:hAnsi="Arial" w:cs="Arial"/>
              </w:rPr>
            </w:pPr>
            <w:r>
              <w:rPr>
                <w:rFonts w:ascii="Arial" w:hAnsi="Arial" w:cs="Arial"/>
              </w:rPr>
              <w:t xml:space="preserve">   /</w:t>
            </w:r>
          </w:p>
        </w:tc>
      </w:tr>
      <w:tr w:rsidR="00135562" w:rsidRPr="00304F56" w:rsidTr="00304F56">
        <w:trPr>
          <w:trHeight w:val="1152"/>
        </w:trPr>
        <w:tc>
          <w:tcPr>
            <w:tcW w:w="738" w:type="dxa"/>
            <w:vAlign w:val="center"/>
          </w:tcPr>
          <w:p w:rsidR="00135562" w:rsidRPr="00304F56" w:rsidRDefault="00135562" w:rsidP="002D76EA">
            <w:pPr>
              <w:spacing w:before="120" w:after="120"/>
              <w:jc w:val="both"/>
              <w:rPr>
                <w:rFonts w:ascii="Arial" w:hAnsi="Arial" w:cs="Arial"/>
              </w:rPr>
            </w:pPr>
            <w:r w:rsidRPr="00304F56">
              <w:rPr>
                <w:rFonts w:ascii="Arial" w:hAnsi="Arial" w:cs="Arial"/>
              </w:rPr>
              <w:t>2.</w:t>
            </w:r>
          </w:p>
        </w:tc>
        <w:tc>
          <w:tcPr>
            <w:tcW w:w="6570" w:type="dxa"/>
            <w:vAlign w:val="center"/>
          </w:tcPr>
          <w:p w:rsidR="00135562" w:rsidRPr="00304F56" w:rsidRDefault="00135562" w:rsidP="002D76EA">
            <w:pPr>
              <w:spacing w:before="120" w:after="120"/>
              <w:jc w:val="both"/>
              <w:rPr>
                <w:rFonts w:ascii="Arial" w:hAnsi="Arial" w:cs="Arial"/>
              </w:rPr>
            </w:pPr>
            <w:r w:rsidRPr="00304F56">
              <w:rPr>
                <w:rFonts w:ascii="Arial" w:hAnsi="Arial" w:cs="Arial"/>
              </w:rPr>
              <w:t xml:space="preserve">Evidence of Research Report </w:t>
            </w:r>
          </w:p>
          <w:p w:rsidR="00135562" w:rsidRPr="00304F56" w:rsidRDefault="00B03EA8" w:rsidP="002D76EA">
            <w:pPr>
              <w:pStyle w:val="ListParagraph"/>
              <w:numPr>
                <w:ilvl w:val="0"/>
                <w:numId w:val="30"/>
              </w:numPr>
              <w:spacing w:before="120" w:after="120"/>
              <w:jc w:val="both"/>
              <w:rPr>
                <w:rFonts w:ascii="Arial" w:hAnsi="Arial" w:cs="Arial"/>
              </w:rPr>
            </w:pPr>
            <w:r>
              <w:rPr>
                <w:rFonts w:ascii="Arial" w:hAnsi="Arial" w:cs="Arial"/>
              </w:rPr>
              <w:t>Printed</w:t>
            </w:r>
            <w:r w:rsidR="00135562" w:rsidRPr="00304F56">
              <w:rPr>
                <w:rFonts w:ascii="Arial" w:hAnsi="Arial" w:cs="Arial"/>
              </w:rPr>
              <w:t xml:space="preserve"> version </w:t>
            </w:r>
            <w:r>
              <w:rPr>
                <w:rFonts w:ascii="Arial" w:hAnsi="Arial" w:cs="Arial"/>
              </w:rPr>
              <w:t xml:space="preserve">of </w:t>
            </w:r>
            <w:r w:rsidR="00135562" w:rsidRPr="00304F56">
              <w:rPr>
                <w:rFonts w:ascii="Arial" w:hAnsi="Arial" w:cs="Arial"/>
              </w:rPr>
              <w:t xml:space="preserve">uploaded </w:t>
            </w:r>
            <w:r>
              <w:rPr>
                <w:rFonts w:ascii="Arial" w:hAnsi="Arial" w:cs="Arial"/>
              </w:rPr>
              <w:t xml:space="preserve">document </w:t>
            </w:r>
            <w:r w:rsidR="00135562" w:rsidRPr="00304F56">
              <w:rPr>
                <w:rFonts w:ascii="Arial" w:hAnsi="Arial" w:cs="Arial"/>
              </w:rPr>
              <w:t xml:space="preserve">in IREP </w:t>
            </w:r>
          </w:p>
        </w:tc>
        <w:tc>
          <w:tcPr>
            <w:tcW w:w="1080" w:type="dxa"/>
            <w:vAlign w:val="center"/>
          </w:tcPr>
          <w:p w:rsidR="00135562" w:rsidRPr="00304F56" w:rsidRDefault="00135562" w:rsidP="002D76EA">
            <w:pPr>
              <w:spacing w:before="120" w:after="120"/>
              <w:jc w:val="both"/>
              <w:rPr>
                <w:rFonts w:ascii="Arial" w:hAnsi="Arial" w:cs="Arial"/>
              </w:rPr>
            </w:pPr>
          </w:p>
        </w:tc>
      </w:tr>
      <w:tr w:rsidR="00135562" w:rsidRPr="00304F56" w:rsidTr="00304F56">
        <w:trPr>
          <w:trHeight w:val="1152"/>
        </w:trPr>
        <w:tc>
          <w:tcPr>
            <w:tcW w:w="738" w:type="dxa"/>
            <w:vAlign w:val="center"/>
          </w:tcPr>
          <w:p w:rsidR="00135562" w:rsidRPr="00304F56" w:rsidRDefault="00135562" w:rsidP="002D76EA">
            <w:pPr>
              <w:spacing w:before="120" w:after="120"/>
              <w:jc w:val="both"/>
              <w:rPr>
                <w:rFonts w:ascii="Arial" w:hAnsi="Arial" w:cs="Arial"/>
              </w:rPr>
            </w:pPr>
            <w:r w:rsidRPr="00304F56">
              <w:rPr>
                <w:rFonts w:ascii="Arial" w:hAnsi="Arial" w:cs="Arial"/>
              </w:rPr>
              <w:t>3.</w:t>
            </w:r>
          </w:p>
        </w:tc>
        <w:tc>
          <w:tcPr>
            <w:tcW w:w="6570" w:type="dxa"/>
            <w:vAlign w:val="center"/>
          </w:tcPr>
          <w:p w:rsidR="00135562" w:rsidRPr="00304F56" w:rsidRDefault="00135562" w:rsidP="002D76EA">
            <w:pPr>
              <w:spacing w:before="120" w:after="120"/>
              <w:jc w:val="both"/>
              <w:rPr>
                <w:rFonts w:ascii="Arial" w:hAnsi="Arial" w:cs="Arial"/>
              </w:rPr>
            </w:pPr>
            <w:r w:rsidRPr="00304F56">
              <w:rPr>
                <w:rFonts w:ascii="Arial" w:hAnsi="Arial" w:cs="Arial"/>
              </w:rPr>
              <w:t xml:space="preserve">A copy of seminar paper, conference, proceedings, publications </w:t>
            </w:r>
          </w:p>
        </w:tc>
        <w:tc>
          <w:tcPr>
            <w:tcW w:w="1080" w:type="dxa"/>
            <w:vAlign w:val="center"/>
          </w:tcPr>
          <w:p w:rsidR="00135562" w:rsidRPr="00304F56" w:rsidRDefault="00135562" w:rsidP="002D76EA">
            <w:pPr>
              <w:spacing w:before="120" w:after="120"/>
              <w:jc w:val="both"/>
              <w:rPr>
                <w:rFonts w:ascii="Arial" w:hAnsi="Arial" w:cs="Arial"/>
              </w:rPr>
            </w:pPr>
          </w:p>
        </w:tc>
      </w:tr>
      <w:tr w:rsidR="00135562" w:rsidRPr="00304F56" w:rsidTr="00304F56">
        <w:trPr>
          <w:trHeight w:val="1152"/>
        </w:trPr>
        <w:tc>
          <w:tcPr>
            <w:tcW w:w="738" w:type="dxa"/>
            <w:vAlign w:val="center"/>
          </w:tcPr>
          <w:p w:rsidR="00135562" w:rsidRPr="00304F56" w:rsidRDefault="00135562" w:rsidP="002D76EA">
            <w:pPr>
              <w:spacing w:before="120" w:after="120"/>
              <w:jc w:val="both"/>
              <w:rPr>
                <w:rFonts w:ascii="Arial" w:hAnsi="Arial" w:cs="Arial"/>
              </w:rPr>
            </w:pPr>
            <w:r w:rsidRPr="00304F56">
              <w:rPr>
                <w:rFonts w:ascii="Arial" w:hAnsi="Arial" w:cs="Arial"/>
              </w:rPr>
              <w:t>4.</w:t>
            </w:r>
          </w:p>
        </w:tc>
        <w:tc>
          <w:tcPr>
            <w:tcW w:w="6570" w:type="dxa"/>
            <w:vAlign w:val="center"/>
          </w:tcPr>
          <w:p w:rsidR="00135562" w:rsidRPr="00304F56" w:rsidRDefault="00135562" w:rsidP="002D76EA">
            <w:pPr>
              <w:spacing w:before="120" w:after="120"/>
              <w:jc w:val="both"/>
              <w:rPr>
                <w:rFonts w:ascii="Arial" w:hAnsi="Arial" w:cs="Arial"/>
              </w:rPr>
            </w:pPr>
            <w:r w:rsidRPr="00304F56">
              <w:rPr>
                <w:rFonts w:ascii="Arial" w:hAnsi="Arial" w:cs="Arial"/>
              </w:rPr>
              <w:t>Attach Original Receipts</w:t>
            </w:r>
          </w:p>
          <w:p w:rsidR="00135562" w:rsidRPr="00304F56" w:rsidRDefault="00135562" w:rsidP="002D76EA">
            <w:pPr>
              <w:spacing w:before="120" w:after="120"/>
              <w:jc w:val="both"/>
              <w:rPr>
                <w:rFonts w:ascii="Arial" w:hAnsi="Arial" w:cs="Arial"/>
                <w:i/>
              </w:rPr>
            </w:pPr>
            <w:r w:rsidRPr="00304F56">
              <w:rPr>
                <w:rFonts w:ascii="Arial" w:hAnsi="Arial" w:cs="Arial"/>
                <w:i/>
              </w:rPr>
              <w:t>(Kindly sort the receipts according to votes / budgets and properly pasted on separate sheets)</w:t>
            </w:r>
          </w:p>
        </w:tc>
        <w:tc>
          <w:tcPr>
            <w:tcW w:w="1080" w:type="dxa"/>
            <w:vAlign w:val="center"/>
          </w:tcPr>
          <w:p w:rsidR="00135562" w:rsidRPr="00304F56" w:rsidRDefault="00135562" w:rsidP="002D76EA">
            <w:pPr>
              <w:spacing w:before="120" w:after="120"/>
              <w:jc w:val="both"/>
              <w:rPr>
                <w:rFonts w:ascii="Arial" w:hAnsi="Arial" w:cs="Arial"/>
              </w:rPr>
            </w:pPr>
          </w:p>
        </w:tc>
      </w:tr>
    </w:tbl>
    <w:p w:rsidR="00135562" w:rsidRPr="00304F56" w:rsidRDefault="00135562" w:rsidP="002D76EA">
      <w:pPr>
        <w:jc w:val="both"/>
        <w:rPr>
          <w:rFonts w:ascii="Arial" w:hAnsi="Arial" w:cs="Arial"/>
        </w:rPr>
      </w:pPr>
    </w:p>
    <w:p w:rsidR="005E5403" w:rsidRPr="00304F56" w:rsidRDefault="00135562" w:rsidP="002D76EA">
      <w:pPr>
        <w:jc w:val="both"/>
        <w:rPr>
          <w:rFonts w:ascii="Arial" w:hAnsi="Arial" w:cs="Arial"/>
          <w:sz w:val="22"/>
        </w:rPr>
      </w:pPr>
      <w:r w:rsidRPr="00304F56">
        <w:rPr>
          <w:rFonts w:ascii="Arial" w:hAnsi="Arial" w:cs="Arial"/>
        </w:rPr>
        <w:t xml:space="preserve"> </w:t>
      </w:r>
    </w:p>
    <w:p w:rsidR="005E5403" w:rsidRPr="00B03EA8" w:rsidRDefault="00023D22" w:rsidP="002D76EA">
      <w:pPr>
        <w:jc w:val="both"/>
        <w:rPr>
          <w:rFonts w:ascii="Arial" w:hAnsi="Arial" w:cs="Arial"/>
          <w:i/>
        </w:rPr>
      </w:pPr>
      <w:r w:rsidRPr="00B03EA8">
        <w:rPr>
          <w:rFonts w:ascii="Arial" w:hAnsi="Arial" w:cs="Arial"/>
          <w:i/>
        </w:rPr>
        <w:t>Note:</w:t>
      </w:r>
    </w:p>
    <w:p w:rsidR="00023D22" w:rsidRPr="00B03EA8" w:rsidRDefault="00023D22" w:rsidP="002D76EA">
      <w:pPr>
        <w:jc w:val="both"/>
        <w:rPr>
          <w:rFonts w:ascii="Arial" w:hAnsi="Arial" w:cs="Arial"/>
          <w:i/>
        </w:rPr>
      </w:pPr>
    </w:p>
    <w:p w:rsidR="00023D22" w:rsidRPr="00B03EA8" w:rsidRDefault="00B03EA8" w:rsidP="002D76EA">
      <w:pPr>
        <w:jc w:val="both"/>
        <w:rPr>
          <w:rFonts w:ascii="Arial" w:hAnsi="Arial" w:cs="Arial"/>
          <w:i/>
        </w:rPr>
      </w:pPr>
      <w:r w:rsidRPr="00B03EA8">
        <w:rPr>
          <w:rFonts w:ascii="Arial" w:hAnsi="Arial" w:cs="Arial"/>
          <w:i/>
        </w:rPr>
        <w:t>The r</w:t>
      </w:r>
      <w:r w:rsidR="00023D22" w:rsidRPr="00B03EA8">
        <w:rPr>
          <w:rFonts w:ascii="Arial" w:hAnsi="Arial" w:cs="Arial"/>
          <w:i/>
        </w:rPr>
        <w:t xml:space="preserve">esearch project is considered completed once all the above have been submitted and </w:t>
      </w:r>
      <w:r w:rsidRPr="00B03EA8">
        <w:rPr>
          <w:rFonts w:ascii="Arial" w:hAnsi="Arial" w:cs="Arial"/>
          <w:i/>
        </w:rPr>
        <w:t>all disbursed funds have been fully reconciled.</w:t>
      </w:r>
    </w:p>
    <w:p w:rsidR="006A5BB3" w:rsidRPr="00A63FCA" w:rsidRDefault="005E5403" w:rsidP="002D76EA">
      <w:pPr>
        <w:jc w:val="both"/>
        <w:rPr>
          <w:rFonts w:ascii="Arial" w:hAnsi="Arial" w:cs="Arial"/>
          <w:b/>
          <w:sz w:val="28"/>
        </w:rPr>
      </w:pPr>
      <w:r w:rsidRPr="00304F56">
        <w:rPr>
          <w:rFonts w:ascii="Arial" w:hAnsi="Arial" w:cs="Arial"/>
        </w:rPr>
        <w:br w:type="page"/>
      </w:r>
      <w:r w:rsidR="006A5BB3" w:rsidRPr="00A63FCA">
        <w:rPr>
          <w:rFonts w:ascii="Arial" w:hAnsi="Arial" w:cs="Arial"/>
          <w:b/>
          <w:sz w:val="28"/>
        </w:rPr>
        <w:lastRenderedPageBreak/>
        <w:t>RESEARCH MANAGEMENT CENTRE</w:t>
      </w:r>
    </w:p>
    <w:p w:rsidR="006A5BB3" w:rsidRPr="00A63FCA" w:rsidRDefault="00C40E99" w:rsidP="002D76EA">
      <w:pPr>
        <w:jc w:val="both"/>
        <w:rPr>
          <w:rFonts w:ascii="Arial" w:hAnsi="Arial" w:cs="Arial"/>
          <w:sz w:val="28"/>
        </w:rPr>
      </w:pPr>
      <w:r>
        <w:rPr>
          <w:rFonts w:ascii="Arial" w:hAnsi="Arial" w:cs="Arial"/>
          <w:noProof/>
          <w:sz w:val="28"/>
        </w:rPr>
        <w:pict>
          <v:shape id="_x0000_s1117" type="#_x0000_t75" style="position:absolute;left:0;text-align:left;margin-left:-10.45pt;margin-top:-34.5pt;width:62pt;height:57.35pt;z-index:251661824">
            <v:imagedata r:id="rId9" o:title="" gain="1.5625"/>
            <w10:wrap side="left"/>
          </v:shape>
          <o:OLEObject Type="Embed" ProgID="PBrush" ShapeID="_x0000_s1117" DrawAspect="Content" ObjectID="_1572443722" r:id="rId11"/>
        </w:pict>
      </w:r>
      <w:r w:rsidR="006A5BB3" w:rsidRPr="00A63FCA">
        <w:rPr>
          <w:rFonts w:ascii="Arial" w:hAnsi="Arial" w:cs="Arial"/>
          <w:b/>
          <w:sz w:val="28"/>
        </w:rPr>
        <w:t>INTERNATIONAL ISLAMIC UNIVERSITY MALAYSIA</w:t>
      </w:r>
    </w:p>
    <w:p w:rsidR="006A5BB3" w:rsidRPr="00A63FCA" w:rsidRDefault="006A5BB3" w:rsidP="002D76EA">
      <w:pPr>
        <w:pStyle w:val="Header"/>
        <w:jc w:val="both"/>
        <w:rPr>
          <w:rFonts w:ascii="Arial" w:hAnsi="Arial" w:cs="Arial"/>
          <w:sz w:val="28"/>
        </w:rPr>
      </w:pPr>
    </w:p>
    <w:p w:rsidR="00B3580E" w:rsidRPr="00304F56" w:rsidRDefault="002D76EA" w:rsidP="002D76EA">
      <w:pPr>
        <w:ind w:left="-180" w:right="-1170"/>
        <w:jc w:val="both"/>
        <w:rPr>
          <w:rFonts w:ascii="Arial" w:hAnsi="Arial" w:cs="Arial"/>
          <w:i/>
          <w:u w:val="single"/>
        </w:rPr>
      </w:pPr>
      <w:r>
        <w:rPr>
          <w:rFonts w:ascii="Arial" w:hAnsi="Arial" w:cs="Arial"/>
          <w:noProof/>
          <w:sz w:val="32"/>
          <w:szCs w:val="32"/>
          <w:lang w:val="en-GB" w:eastAsia="en-GB"/>
        </w:rPr>
        <mc:AlternateContent>
          <mc:Choice Requires="wps">
            <w:drawing>
              <wp:anchor distT="0" distB="0" distL="114300" distR="114300" simplePos="0" relativeHeight="251648512" behindDoc="0" locked="0" layoutInCell="1" allowOverlap="0">
                <wp:simplePos x="0" y="0"/>
                <wp:positionH relativeFrom="column">
                  <wp:posOffset>-46990</wp:posOffset>
                </wp:positionH>
                <wp:positionV relativeFrom="paragraph">
                  <wp:posOffset>68580</wp:posOffset>
                </wp:positionV>
                <wp:extent cx="6064250" cy="380365"/>
                <wp:effectExtent l="7620" t="15240" r="14605" b="23495"/>
                <wp:wrapSquare wrapText="bothSides"/>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38036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1D3AB6" w:rsidRPr="00304F56" w:rsidRDefault="00D1074A" w:rsidP="00A63FCA">
                            <w:pPr>
                              <w:jc w:val="center"/>
                              <w:rPr>
                                <w:rFonts w:ascii="Arial" w:hAnsi="Arial" w:cs="Arial"/>
                                <w:b/>
                                <w:sz w:val="32"/>
                                <w:szCs w:val="32"/>
                              </w:rPr>
                            </w:pPr>
                            <w:r w:rsidRPr="00304F56">
                              <w:rPr>
                                <w:rFonts w:ascii="Arial" w:hAnsi="Arial" w:cs="Arial"/>
                                <w:b/>
                                <w:sz w:val="32"/>
                                <w:szCs w:val="32"/>
                              </w:rPr>
                              <w:t>END OF PROJECT</w:t>
                            </w:r>
                            <w:r w:rsidR="001D3AB6" w:rsidRPr="00304F56">
                              <w:rPr>
                                <w:rFonts w:ascii="Arial" w:hAnsi="Arial" w:cs="Arial"/>
                                <w:b/>
                                <w:sz w:val="32"/>
                                <w:szCs w:val="32"/>
                              </w:rPr>
                              <w:t xml:space="preserve"> REPORT</w:t>
                            </w:r>
                            <w:r w:rsidR="002E0F3F" w:rsidRPr="00304F56">
                              <w:rPr>
                                <w:rFonts w:ascii="Arial" w:hAnsi="Arial" w:cs="Arial"/>
                                <w:b/>
                                <w:sz w:val="32"/>
                                <w:szCs w:val="32"/>
                              </w:rPr>
                              <w:t xml:space="preserv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3.7pt;margin-top:5.4pt;width:477.5pt;height:29.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" o:allowoverlap="f" strokecolor="#666" strokeweight="1pt">
                <v:fill color2="#999" focus="100%" type="gradient"/>
                <v:shadow on="t" color="#7f7f7f" opacity=".5" offset="1pt"/>
                <v:textbox>
                  <w:txbxContent>
                    <w:p w:rsidR="001D3AB6" w:rsidRPr="00304F56" w:rsidRDefault="00D1074A" w:rsidP="00A63FCA">
                      <w:pPr>
                        <w:jc w:val="center"/>
                        <w:rPr>
                          <w:rFonts w:ascii="Arial" w:hAnsi="Arial" w:cs="Arial"/>
                          <w:b/>
                          <w:sz w:val="32"/>
                          <w:szCs w:val="32"/>
                        </w:rPr>
                      </w:pPr>
                      <w:r w:rsidRPr="00304F56">
                        <w:rPr>
                          <w:rFonts w:ascii="Arial" w:hAnsi="Arial" w:cs="Arial"/>
                          <w:b/>
                          <w:sz w:val="32"/>
                          <w:szCs w:val="32"/>
                        </w:rPr>
                        <w:t>END OF PROJECT</w:t>
                      </w:r>
                      <w:r w:rsidR="001D3AB6" w:rsidRPr="00304F56">
                        <w:rPr>
                          <w:rFonts w:ascii="Arial" w:hAnsi="Arial" w:cs="Arial"/>
                          <w:b/>
                          <w:sz w:val="32"/>
                          <w:szCs w:val="32"/>
                        </w:rPr>
                        <w:t xml:space="preserve"> REPORT</w:t>
                      </w:r>
                      <w:r w:rsidR="002E0F3F" w:rsidRPr="00304F56">
                        <w:rPr>
                          <w:rFonts w:ascii="Arial" w:hAnsi="Arial" w:cs="Arial"/>
                          <w:b/>
                          <w:sz w:val="32"/>
                          <w:szCs w:val="32"/>
                        </w:rPr>
                        <w:t xml:space="preserve"> FORM</w:t>
                      </w:r>
                    </w:p>
                  </w:txbxContent>
                </v:textbox>
                <w10:wrap type="square"/>
              </v:shape>
            </w:pict>
          </mc:Fallback>
        </mc:AlternateContent>
      </w:r>
    </w:p>
    <w:tbl>
      <w:tblPr>
        <w:tblpPr w:leftFromText="180" w:rightFromText="180" w:vertAnchor="text" w:horzAnchor="margin" w:tblpY="2"/>
        <w:tblW w:w="964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648"/>
      </w:tblGrid>
      <w:tr w:rsidR="00352506" w:rsidRPr="00304F56" w:rsidTr="00992EAE">
        <w:trPr>
          <w:trHeight w:val="437"/>
        </w:trPr>
        <w:tc>
          <w:tcPr>
            <w:tcW w:w="9648" w:type="dxa"/>
            <w:shd w:val="clear" w:color="auto" w:fill="auto"/>
            <w:vAlign w:val="center"/>
          </w:tcPr>
          <w:p w:rsidR="00352506" w:rsidRPr="00304F56" w:rsidRDefault="00352506" w:rsidP="002D76EA">
            <w:pPr>
              <w:numPr>
                <w:ilvl w:val="0"/>
                <w:numId w:val="25"/>
              </w:numPr>
              <w:ind w:left="720"/>
              <w:jc w:val="both"/>
              <w:rPr>
                <w:rFonts w:ascii="Arial" w:hAnsi="Arial" w:cs="Arial"/>
                <w:b/>
                <w:bCs/>
                <w:color w:val="030799"/>
                <w:sz w:val="28"/>
                <w:szCs w:val="28"/>
              </w:rPr>
            </w:pPr>
            <w:r w:rsidRPr="00304F56">
              <w:rPr>
                <w:rFonts w:ascii="Arial" w:hAnsi="Arial" w:cs="Arial"/>
                <w:b/>
                <w:bCs/>
                <w:color w:val="030799"/>
                <w:sz w:val="28"/>
                <w:szCs w:val="28"/>
              </w:rPr>
              <w:t>RESEARCH DETAILS</w:t>
            </w:r>
          </w:p>
        </w:tc>
      </w:tr>
    </w:tbl>
    <w:p w:rsidR="001D3AB6" w:rsidRPr="00304F56" w:rsidRDefault="001D3AB6" w:rsidP="002D76EA">
      <w:pPr>
        <w:tabs>
          <w:tab w:val="left" w:pos="1395"/>
        </w:tabs>
        <w:ind w:left="1440"/>
        <w:jc w:val="both"/>
        <w:rPr>
          <w:rFonts w:ascii="Arial" w:hAnsi="Arial" w:cs="Arial"/>
        </w:rPr>
      </w:pPr>
    </w:p>
    <w:p w:rsidR="001D3AB6" w:rsidRPr="00304F56" w:rsidRDefault="001D3AB6" w:rsidP="002D76EA">
      <w:pPr>
        <w:jc w:val="both"/>
        <w:rPr>
          <w:rFonts w:ascii="Arial" w:hAnsi="Arial" w:cs="Arial"/>
        </w:rPr>
      </w:pPr>
    </w:p>
    <w:p w:rsidR="00B16940" w:rsidRPr="00304F56" w:rsidRDefault="00B16940" w:rsidP="002D76EA">
      <w:pPr>
        <w:jc w:val="both"/>
        <w:rPr>
          <w:rFonts w:ascii="Arial" w:hAnsi="Arial" w:cs="Arial"/>
          <w:sz w:val="20"/>
          <w:szCs w:val="20"/>
        </w:rPr>
      </w:pPr>
      <w:r w:rsidRPr="00304F56">
        <w:rPr>
          <w:rFonts w:ascii="Arial" w:hAnsi="Arial" w:cs="Arial"/>
          <w:sz w:val="20"/>
          <w:szCs w:val="20"/>
        </w:rPr>
        <w:t>TITLE OF RESEARCH:</w:t>
      </w:r>
      <w:r w:rsidR="0002063D">
        <w:rPr>
          <w:rFonts w:ascii="Arial" w:hAnsi="Arial" w:cs="Arial"/>
          <w:sz w:val="20"/>
          <w:szCs w:val="20"/>
        </w:rPr>
        <w:t xml:space="preserve"> </w:t>
      </w:r>
      <w:r w:rsidR="0002063D" w:rsidRPr="0002063D">
        <w:rPr>
          <w:rFonts w:ascii="Arial" w:hAnsi="Arial" w:cs="Arial"/>
          <w:sz w:val="20"/>
          <w:szCs w:val="20"/>
        </w:rPr>
        <w:t>The Legal Regulatory Framework for Unfair Risk Allocation in Oilfield Service Contracts in Malaysia</w:t>
      </w:r>
    </w:p>
    <w:p w:rsidR="00B16940" w:rsidRPr="00304F56" w:rsidRDefault="00B16940" w:rsidP="002D76EA">
      <w:pPr>
        <w:jc w:val="both"/>
        <w:rPr>
          <w:rFonts w:ascii="Arial" w:hAnsi="Arial" w:cs="Arial"/>
          <w:sz w:val="20"/>
          <w:szCs w:val="20"/>
        </w:rPr>
      </w:pPr>
    </w:p>
    <w:p w:rsidR="0036552A" w:rsidRDefault="00B16940" w:rsidP="002D76EA">
      <w:pPr>
        <w:jc w:val="both"/>
        <w:rPr>
          <w:rFonts w:ascii="Arial" w:hAnsi="Arial" w:cs="Arial"/>
          <w:sz w:val="20"/>
          <w:szCs w:val="20"/>
        </w:rPr>
      </w:pPr>
      <w:r w:rsidRPr="00304F56">
        <w:rPr>
          <w:rFonts w:ascii="Arial" w:hAnsi="Arial" w:cs="Arial"/>
          <w:sz w:val="20"/>
          <w:szCs w:val="20"/>
        </w:rPr>
        <w:t xml:space="preserve">TYPE OF </w:t>
      </w:r>
      <w:r w:rsidR="00FD456D" w:rsidRPr="00304F56">
        <w:rPr>
          <w:rFonts w:ascii="Arial" w:hAnsi="Arial" w:cs="Arial"/>
          <w:sz w:val="20"/>
          <w:szCs w:val="20"/>
        </w:rPr>
        <w:t>GRANT</w:t>
      </w:r>
      <w:r w:rsidRPr="00304F56">
        <w:rPr>
          <w:rFonts w:ascii="Arial" w:hAnsi="Arial" w:cs="Arial"/>
          <w:sz w:val="20"/>
          <w:szCs w:val="20"/>
        </w:rPr>
        <w:t xml:space="preserve">: </w:t>
      </w:r>
      <w:r w:rsidR="0002063D">
        <w:rPr>
          <w:rFonts w:ascii="Arial" w:hAnsi="Arial" w:cs="Arial"/>
          <w:sz w:val="20"/>
          <w:szCs w:val="20"/>
        </w:rPr>
        <w:t>RIGS</w:t>
      </w:r>
    </w:p>
    <w:p w:rsidR="00B16940" w:rsidRPr="00304F56" w:rsidRDefault="00B16940" w:rsidP="002D76EA">
      <w:pPr>
        <w:jc w:val="both"/>
        <w:rPr>
          <w:rFonts w:ascii="Arial" w:hAnsi="Arial" w:cs="Arial"/>
          <w:sz w:val="20"/>
          <w:szCs w:val="20"/>
        </w:rPr>
      </w:pPr>
    </w:p>
    <w:p w:rsidR="00B16940" w:rsidRPr="00304F56" w:rsidRDefault="00B16940" w:rsidP="002D76EA">
      <w:pPr>
        <w:jc w:val="both"/>
        <w:rPr>
          <w:rFonts w:ascii="Arial" w:hAnsi="Arial" w:cs="Arial"/>
          <w:sz w:val="20"/>
          <w:szCs w:val="20"/>
        </w:rPr>
      </w:pPr>
      <w:r w:rsidRPr="00304F56">
        <w:rPr>
          <w:rFonts w:ascii="Arial" w:hAnsi="Arial" w:cs="Arial"/>
          <w:sz w:val="20"/>
          <w:szCs w:val="20"/>
        </w:rPr>
        <w:t xml:space="preserve">PROJECT </w:t>
      </w:r>
      <w:r w:rsidR="00A63FCA">
        <w:rPr>
          <w:rFonts w:ascii="Arial" w:hAnsi="Arial" w:cs="Arial"/>
          <w:sz w:val="20"/>
          <w:szCs w:val="20"/>
        </w:rPr>
        <w:t>ID</w:t>
      </w:r>
      <w:r w:rsidRPr="00304F56">
        <w:rPr>
          <w:rFonts w:ascii="Arial" w:hAnsi="Arial" w:cs="Arial"/>
          <w:sz w:val="20"/>
          <w:szCs w:val="20"/>
        </w:rPr>
        <w:t>:</w:t>
      </w:r>
      <w:r w:rsidR="0002063D">
        <w:rPr>
          <w:rFonts w:ascii="Arial" w:hAnsi="Arial" w:cs="Arial"/>
          <w:sz w:val="20"/>
          <w:szCs w:val="20"/>
        </w:rPr>
        <w:t xml:space="preserve"> </w:t>
      </w:r>
      <w:hyperlink r:id="rId12" w:tgtFrame="_blank" w:history="1">
        <w:r w:rsidR="0002063D" w:rsidRPr="0002063D">
          <w:rPr>
            <w:sz w:val="20"/>
            <w:szCs w:val="20"/>
          </w:rPr>
          <w:t>RIGS16-007-0171</w:t>
        </w:r>
      </w:hyperlink>
    </w:p>
    <w:p w:rsidR="003A2C52" w:rsidRPr="00304F56" w:rsidRDefault="003A2C52" w:rsidP="002D76EA">
      <w:pPr>
        <w:jc w:val="both"/>
        <w:rPr>
          <w:rFonts w:ascii="Arial" w:hAnsi="Arial" w:cs="Arial"/>
          <w:sz w:val="20"/>
          <w:szCs w:val="20"/>
        </w:rPr>
      </w:pPr>
    </w:p>
    <w:p w:rsidR="003A2C52" w:rsidRPr="00304F56" w:rsidRDefault="003A2C52" w:rsidP="002D76EA">
      <w:pPr>
        <w:jc w:val="both"/>
        <w:rPr>
          <w:rFonts w:ascii="Arial" w:hAnsi="Arial" w:cs="Arial"/>
          <w:sz w:val="20"/>
          <w:szCs w:val="20"/>
        </w:rPr>
      </w:pPr>
      <w:r w:rsidRPr="00304F56">
        <w:rPr>
          <w:rFonts w:ascii="Arial" w:hAnsi="Arial" w:cs="Arial"/>
          <w:sz w:val="20"/>
          <w:szCs w:val="20"/>
        </w:rPr>
        <w:t>PROJECT START DATE:</w:t>
      </w:r>
      <w:r w:rsidR="0002063D">
        <w:rPr>
          <w:rFonts w:ascii="Arial" w:hAnsi="Arial" w:cs="Arial"/>
          <w:sz w:val="20"/>
          <w:szCs w:val="20"/>
        </w:rPr>
        <w:t xml:space="preserve"> 1/11/2016</w:t>
      </w:r>
    </w:p>
    <w:p w:rsidR="003A2C52" w:rsidRPr="00304F56" w:rsidRDefault="003A2C52" w:rsidP="002D76EA">
      <w:pPr>
        <w:jc w:val="both"/>
        <w:rPr>
          <w:rFonts w:ascii="Arial" w:hAnsi="Arial" w:cs="Arial"/>
          <w:sz w:val="20"/>
          <w:szCs w:val="20"/>
        </w:rPr>
      </w:pPr>
    </w:p>
    <w:p w:rsidR="003A2C52" w:rsidRPr="00304F56" w:rsidRDefault="003A2C52" w:rsidP="002D76EA">
      <w:pPr>
        <w:jc w:val="both"/>
        <w:rPr>
          <w:rFonts w:ascii="Arial" w:hAnsi="Arial" w:cs="Arial"/>
          <w:sz w:val="20"/>
          <w:szCs w:val="20"/>
        </w:rPr>
      </w:pPr>
      <w:r w:rsidRPr="00304F56">
        <w:rPr>
          <w:rFonts w:ascii="Arial" w:hAnsi="Arial" w:cs="Arial"/>
          <w:sz w:val="20"/>
          <w:szCs w:val="20"/>
        </w:rPr>
        <w:t>PROJECT END DATE:</w:t>
      </w:r>
      <w:r w:rsidR="0002063D">
        <w:rPr>
          <w:rFonts w:ascii="Arial" w:hAnsi="Arial" w:cs="Arial"/>
          <w:sz w:val="20"/>
          <w:szCs w:val="20"/>
        </w:rPr>
        <w:t xml:space="preserve"> 30/11/2017</w:t>
      </w:r>
    </w:p>
    <w:p w:rsidR="00B16940" w:rsidRPr="00304F56" w:rsidRDefault="00B16940" w:rsidP="002D76EA">
      <w:pPr>
        <w:jc w:val="both"/>
        <w:rPr>
          <w:rFonts w:ascii="Arial" w:hAnsi="Arial" w:cs="Arial"/>
          <w:sz w:val="20"/>
          <w:szCs w:val="20"/>
        </w:rPr>
      </w:pPr>
    </w:p>
    <w:p w:rsidR="00B929D2" w:rsidRPr="00304F56" w:rsidRDefault="00B929D2" w:rsidP="002D76EA">
      <w:pPr>
        <w:jc w:val="both"/>
        <w:rPr>
          <w:rFonts w:ascii="Arial" w:hAnsi="Arial" w:cs="Arial"/>
          <w:sz w:val="20"/>
          <w:szCs w:val="2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992EAE" w:rsidRPr="00304F56" w:rsidTr="00992EAE">
        <w:trPr>
          <w:trHeight w:val="432"/>
        </w:trPr>
        <w:tc>
          <w:tcPr>
            <w:tcW w:w="9648" w:type="dxa"/>
            <w:tcBorders>
              <w:top w:val="single" w:sz="12" w:space="0" w:color="000000"/>
              <w:left w:val="single" w:sz="12" w:space="0" w:color="000000"/>
              <w:bottom w:val="single" w:sz="12" w:space="0" w:color="000000"/>
              <w:right w:val="single" w:sz="12" w:space="0" w:color="000000"/>
            </w:tcBorders>
            <w:vAlign w:val="center"/>
          </w:tcPr>
          <w:p w:rsidR="00352506" w:rsidRPr="00304F56" w:rsidRDefault="00352506" w:rsidP="002D76EA">
            <w:pPr>
              <w:numPr>
                <w:ilvl w:val="0"/>
                <w:numId w:val="25"/>
              </w:numPr>
              <w:ind w:left="720"/>
              <w:jc w:val="both"/>
              <w:rPr>
                <w:rFonts w:ascii="Arial" w:hAnsi="Arial" w:cs="Arial"/>
                <w:b/>
                <w:color w:val="030799"/>
                <w:sz w:val="28"/>
                <w:szCs w:val="28"/>
              </w:rPr>
            </w:pPr>
            <w:r w:rsidRPr="00304F56">
              <w:rPr>
                <w:rFonts w:ascii="Arial" w:hAnsi="Arial" w:cs="Arial"/>
                <w:b/>
                <w:color w:val="030799"/>
                <w:sz w:val="28"/>
                <w:szCs w:val="28"/>
              </w:rPr>
              <w:t>RESEARCHER DETAILS</w:t>
            </w:r>
          </w:p>
        </w:tc>
      </w:tr>
    </w:tbl>
    <w:p w:rsidR="00B16940" w:rsidRPr="00304F56" w:rsidRDefault="00B16940" w:rsidP="002D76EA">
      <w:pPr>
        <w:jc w:val="both"/>
        <w:rPr>
          <w:rFonts w:ascii="Arial" w:hAnsi="Arial" w:cs="Arial"/>
          <w:sz w:val="20"/>
          <w:szCs w:val="20"/>
        </w:rPr>
      </w:pPr>
    </w:p>
    <w:p w:rsidR="00B16940" w:rsidRPr="00304F56" w:rsidRDefault="00FD456D" w:rsidP="002D76EA">
      <w:pPr>
        <w:jc w:val="both"/>
        <w:rPr>
          <w:rFonts w:ascii="Arial" w:hAnsi="Arial" w:cs="Arial"/>
          <w:sz w:val="20"/>
          <w:szCs w:val="20"/>
        </w:rPr>
      </w:pPr>
      <w:r w:rsidRPr="00304F56">
        <w:rPr>
          <w:rFonts w:ascii="Arial" w:hAnsi="Arial" w:cs="Arial"/>
          <w:sz w:val="20"/>
          <w:szCs w:val="20"/>
        </w:rPr>
        <w:t>PRINCIPAL RESEARCHER</w:t>
      </w:r>
      <w:r w:rsidR="003A2C52" w:rsidRPr="00304F56">
        <w:rPr>
          <w:rFonts w:ascii="Arial" w:hAnsi="Arial" w:cs="Arial"/>
          <w:sz w:val="20"/>
          <w:szCs w:val="20"/>
        </w:rPr>
        <w:t>:</w:t>
      </w:r>
      <w:r w:rsidR="0002063D">
        <w:rPr>
          <w:rFonts w:ascii="Arial" w:hAnsi="Arial" w:cs="Arial"/>
          <w:sz w:val="20"/>
          <w:szCs w:val="20"/>
        </w:rPr>
        <w:t xml:space="preserve"> WAN MOHD ZULHAFIZ BIN WAN ZAHARI</w:t>
      </w:r>
    </w:p>
    <w:p w:rsidR="002E0F3F" w:rsidRPr="00304F56" w:rsidRDefault="002E0F3F" w:rsidP="002D76EA">
      <w:pPr>
        <w:jc w:val="both"/>
        <w:rPr>
          <w:rFonts w:ascii="Arial" w:hAnsi="Arial" w:cs="Arial"/>
          <w:sz w:val="20"/>
          <w:szCs w:val="20"/>
        </w:rPr>
      </w:pPr>
    </w:p>
    <w:p w:rsidR="002E0F3F" w:rsidRPr="00304F56" w:rsidRDefault="002E0F3F" w:rsidP="002D76EA">
      <w:pPr>
        <w:jc w:val="both"/>
        <w:rPr>
          <w:rFonts w:ascii="Arial" w:hAnsi="Arial" w:cs="Arial"/>
          <w:sz w:val="20"/>
          <w:szCs w:val="20"/>
        </w:rPr>
      </w:pPr>
      <w:r w:rsidRPr="00304F56">
        <w:rPr>
          <w:rFonts w:ascii="Arial" w:hAnsi="Arial" w:cs="Arial"/>
          <w:sz w:val="20"/>
          <w:szCs w:val="20"/>
        </w:rPr>
        <w:t>DEPARTMENT/KULLIYYAH/CENTRE:</w:t>
      </w:r>
      <w:r w:rsidR="0002063D">
        <w:rPr>
          <w:rFonts w:ascii="Arial" w:hAnsi="Arial" w:cs="Arial"/>
          <w:sz w:val="20"/>
          <w:szCs w:val="20"/>
        </w:rPr>
        <w:t xml:space="preserve"> AIKOL</w:t>
      </w:r>
    </w:p>
    <w:p w:rsidR="00EC2ECE" w:rsidRPr="00304F56" w:rsidRDefault="00EC2ECE" w:rsidP="002D76EA">
      <w:pPr>
        <w:jc w:val="both"/>
        <w:rPr>
          <w:rFonts w:ascii="Arial" w:hAnsi="Arial" w:cs="Arial"/>
          <w:sz w:val="20"/>
          <w:szCs w:val="20"/>
        </w:rPr>
      </w:pPr>
    </w:p>
    <w:p w:rsidR="003A2C52" w:rsidRPr="00304F56" w:rsidRDefault="003A2C52" w:rsidP="002D76EA">
      <w:pPr>
        <w:jc w:val="both"/>
        <w:rPr>
          <w:rFonts w:ascii="Arial" w:hAnsi="Arial" w:cs="Arial"/>
          <w:sz w:val="20"/>
          <w:szCs w:val="20"/>
        </w:rPr>
      </w:pPr>
      <w:r w:rsidRPr="00304F56">
        <w:rPr>
          <w:rFonts w:ascii="Arial" w:hAnsi="Arial" w:cs="Arial"/>
          <w:sz w:val="20"/>
          <w:szCs w:val="20"/>
        </w:rPr>
        <w:t>PROJECT MEMBERS:</w:t>
      </w:r>
    </w:p>
    <w:p w:rsidR="002E0F3F" w:rsidRPr="00304F56" w:rsidRDefault="002E0F3F" w:rsidP="002D76EA">
      <w:pPr>
        <w:jc w:val="both"/>
        <w:rPr>
          <w:rFonts w:ascii="Arial" w:hAnsi="Arial" w:cs="Arial"/>
          <w:sz w:val="20"/>
          <w:szCs w:val="20"/>
        </w:rPr>
      </w:pPr>
    </w:p>
    <w:p w:rsidR="002E0F3F" w:rsidRPr="00304F56" w:rsidRDefault="002E0F3F" w:rsidP="002D76EA">
      <w:pPr>
        <w:jc w:val="both"/>
        <w:rPr>
          <w:rFonts w:ascii="Arial" w:hAnsi="Arial" w:cs="Arial"/>
          <w:sz w:val="20"/>
          <w:szCs w:val="20"/>
        </w:rPr>
      </w:pPr>
      <w:r w:rsidRPr="00304F56">
        <w:rPr>
          <w:rFonts w:ascii="Arial" w:hAnsi="Arial" w:cs="Arial"/>
          <w:sz w:val="20"/>
          <w:szCs w:val="20"/>
        </w:rPr>
        <w:t>DEPARTMENT/KULLIYYAH/CENTRE:</w:t>
      </w:r>
      <w:r w:rsidR="0002063D">
        <w:rPr>
          <w:rFonts w:ascii="Arial" w:hAnsi="Arial" w:cs="Arial"/>
          <w:sz w:val="20"/>
          <w:szCs w:val="20"/>
        </w:rPr>
        <w:t xml:space="preserve"> CIVIL LAW DEPARTMENT</w:t>
      </w:r>
    </w:p>
    <w:p w:rsidR="00020571" w:rsidRPr="00304F56" w:rsidRDefault="00020571" w:rsidP="002D76EA">
      <w:pPr>
        <w:jc w:val="both"/>
        <w:rPr>
          <w:rFonts w:ascii="Arial" w:hAnsi="Arial" w:cs="Arial"/>
          <w:sz w:val="20"/>
          <w:szCs w:val="20"/>
        </w:rPr>
      </w:pPr>
    </w:p>
    <w:p w:rsidR="00020571" w:rsidRPr="00304F56" w:rsidRDefault="00020571" w:rsidP="002D76EA">
      <w:pPr>
        <w:jc w:val="both"/>
        <w:rPr>
          <w:rFonts w:ascii="Arial" w:hAnsi="Arial" w:cs="Arial"/>
          <w:sz w:val="20"/>
          <w:szCs w:val="2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352506" w:rsidRPr="00304F56" w:rsidTr="00992EAE">
        <w:trPr>
          <w:trHeight w:val="432"/>
        </w:trPr>
        <w:tc>
          <w:tcPr>
            <w:tcW w:w="9648" w:type="dxa"/>
            <w:tcBorders>
              <w:top w:val="single" w:sz="12" w:space="0" w:color="000000"/>
              <w:left w:val="single" w:sz="12" w:space="0" w:color="000000"/>
              <w:bottom w:val="single" w:sz="12" w:space="0" w:color="000000"/>
              <w:right w:val="single" w:sz="12" w:space="0" w:color="000000"/>
            </w:tcBorders>
            <w:vAlign w:val="center"/>
          </w:tcPr>
          <w:p w:rsidR="00352506" w:rsidRPr="00304F56" w:rsidRDefault="00352506" w:rsidP="002D76EA">
            <w:pPr>
              <w:numPr>
                <w:ilvl w:val="0"/>
                <w:numId w:val="25"/>
              </w:numPr>
              <w:ind w:left="720"/>
              <w:jc w:val="both"/>
              <w:rPr>
                <w:rFonts w:ascii="Arial" w:hAnsi="Arial" w:cs="Arial"/>
                <w:b/>
                <w:color w:val="030799"/>
                <w:sz w:val="28"/>
                <w:szCs w:val="28"/>
              </w:rPr>
            </w:pPr>
            <w:r w:rsidRPr="00304F56">
              <w:rPr>
                <w:rFonts w:ascii="Arial" w:hAnsi="Arial" w:cs="Arial"/>
                <w:b/>
                <w:color w:val="030799"/>
                <w:sz w:val="28"/>
                <w:szCs w:val="28"/>
              </w:rPr>
              <w:t>RESEARCH ALLOCATION</w:t>
            </w:r>
          </w:p>
        </w:tc>
      </w:tr>
    </w:tbl>
    <w:p w:rsidR="003A2C52" w:rsidRPr="00304F56" w:rsidRDefault="003A2C52" w:rsidP="002D76EA">
      <w:pPr>
        <w:jc w:val="both"/>
        <w:rPr>
          <w:rFonts w:ascii="Arial" w:hAnsi="Arial" w:cs="Arial"/>
          <w:sz w:val="20"/>
          <w:szCs w:val="2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1618"/>
        <w:gridCol w:w="2251"/>
        <w:gridCol w:w="1952"/>
        <w:gridCol w:w="1890"/>
      </w:tblGrid>
      <w:tr w:rsidR="00FD456D" w:rsidRPr="00304F56" w:rsidTr="00A63FCA">
        <w:tc>
          <w:tcPr>
            <w:tcW w:w="1937" w:type="dxa"/>
            <w:vAlign w:val="center"/>
          </w:tcPr>
          <w:p w:rsidR="00EC2ECE" w:rsidRPr="00304F56" w:rsidRDefault="00EC2ECE" w:rsidP="002D76EA">
            <w:pPr>
              <w:jc w:val="both"/>
              <w:rPr>
                <w:rFonts w:ascii="Arial" w:hAnsi="Arial" w:cs="Arial"/>
                <w:b/>
                <w:sz w:val="18"/>
                <w:szCs w:val="18"/>
              </w:rPr>
            </w:pPr>
            <w:r w:rsidRPr="00304F56">
              <w:rPr>
                <w:rFonts w:ascii="Arial" w:hAnsi="Arial" w:cs="Arial"/>
                <w:b/>
                <w:sz w:val="18"/>
                <w:szCs w:val="18"/>
              </w:rPr>
              <w:t>Vote</w:t>
            </w:r>
          </w:p>
        </w:tc>
        <w:tc>
          <w:tcPr>
            <w:tcW w:w="1618" w:type="dxa"/>
            <w:vAlign w:val="center"/>
          </w:tcPr>
          <w:p w:rsidR="00EC2ECE" w:rsidRPr="00304F56" w:rsidRDefault="00EC2ECE" w:rsidP="002D76EA">
            <w:pPr>
              <w:jc w:val="both"/>
              <w:rPr>
                <w:rFonts w:ascii="Arial" w:hAnsi="Arial" w:cs="Arial"/>
                <w:b/>
                <w:sz w:val="18"/>
                <w:szCs w:val="18"/>
              </w:rPr>
            </w:pPr>
            <w:r w:rsidRPr="00304F56">
              <w:rPr>
                <w:rFonts w:ascii="Arial" w:hAnsi="Arial" w:cs="Arial"/>
                <w:b/>
                <w:sz w:val="18"/>
                <w:szCs w:val="18"/>
              </w:rPr>
              <w:t>Total Approved budget</w:t>
            </w:r>
          </w:p>
          <w:p w:rsidR="00EC2ECE" w:rsidRPr="00304F56" w:rsidRDefault="00EC2ECE" w:rsidP="002D76EA">
            <w:pPr>
              <w:jc w:val="both"/>
              <w:rPr>
                <w:rFonts w:ascii="Arial" w:hAnsi="Arial" w:cs="Arial"/>
                <w:b/>
                <w:sz w:val="18"/>
                <w:szCs w:val="18"/>
              </w:rPr>
            </w:pPr>
            <w:r w:rsidRPr="00304F56">
              <w:rPr>
                <w:rFonts w:ascii="Arial" w:hAnsi="Arial" w:cs="Arial"/>
                <w:b/>
                <w:sz w:val="18"/>
                <w:szCs w:val="18"/>
              </w:rPr>
              <w:t>(RM)</w:t>
            </w:r>
          </w:p>
        </w:tc>
        <w:tc>
          <w:tcPr>
            <w:tcW w:w="2251" w:type="dxa"/>
            <w:vAlign w:val="center"/>
          </w:tcPr>
          <w:p w:rsidR="00EC2ECE" w:rsidRPr="00304F56" w:rsidRDefault="00EC2ECE" w:rsidP="002D76EA">
            <w:pPr>
              <w:jc w:val="both"/>
              <w:rPr>
                <w:rFonts w:ascii="Arial" w:hAnsi="Arial" w:cs="Arial"/>
                <w:b/>
                <w:sz w:val="18"/>
                <w:szCs w:val="18"/>
              </w:rPr>
            </w:pPr>
            <w:r w:rsidRPr="00304F56">
              <w:rPr>
                <w:rFonts w:ascii="Arial" w:hAnsi="Arial" w:cs="Arial"/>
                <w:b/>
                <w:sz w:val="18"/>
                <w:szCs w:val="18"/>
              </w:rPr>
              <w:t>Supplementary Budget Approved (</w:t>
            </w:r>
            <w:r w:rsidRPr="00304F56">
              <w:rPr>
                <w:rFonts w:ascii="Arial" w:hAnsi="Arial" w:cs="Arial"/>
                <w:i/>
                <w:sz w:val="18"/>
                <w:szCs w:val="18"/>
              </w:rPr>
              <w:t>if any</w:t>
            </w:r>
            <w:r w:rsidRPr="00304F56">
              <w:rPr>
                <w:rFonts w:ascii="Arial" w:hAnsi="Arial" w:cs="Arial"/>
                <w:b/>
                <w:sz w:val="18"/>
                <w:szCs w:val="18"/>
              </w:rPr>
              <w:t>)</w:t>
            </w:r>
          </w:p>
          <w:p w:rsidR="00EC2ECE" w:rsidRPr="00304F56" w:rsidRDefault="00EC2ECE" w:rsidP="002D76EA">
            <w:pPr>
              <w:jc w:val="both"/>
              <w:rPr>
                <w:rFonts w:ascii="Arial" w:hAnsi="Arial" w:cs="Arial"/>
                <w:b/>
                <w:sz w:val="18"/>
                <w:szCs w:val="18"/>
              </w:rPr>
            </w:pPr>
            <w:r w:rsidRPr="00304F56">
              <w:rPr>
                <w:rFonts w:ascii="Arial" w:hAnsi="Arial" w:cs="Arial"/>
                <w:b/>
                <w:sz w:val="18"/>
                <w:szCs w:val="18"/>
              </w:rPr>
              <w:t>(RM)</w:t>
            </w:r>
          </w:p>
        </w:tc>
        <w:tc>
          <w:tcPr>
            <w:tcW w:w="1952" w:type="dxa"/>
            <w:vAlign w:val="center"/>
          </w:tcPr>
          <w:p w:rsidR="00EC2ECE" w:rsidRPr="00304F56" w:rsidRDefault="00EC2ECE" w:rsidP="002D76EA">
            <w:pPr>
              <w:jc w:val="both"/>
              <w:rPr>
                <w:rFonts w:ascii="Arial" w:hAnsi="Arial" w:cs="Arial"/>
                <w:b/>
                <w:sz w:val="18"/>
                <w:szCs w:val="18"/>
              </w:rPr>
            </w:pPr>
            <w:r w:rsidRPr="00304F56">
              <w:rPr>
                <w:rFonts w:ascii="Arial" w:hAnsi="Arial" w:cs="Arial"/>
                <w:b/>
                <w:sz w:val="18"/>
                <w:szCs w:val="18"/>
              </w:rPr>
              <w:t>Total Cumulative Expenditure</w:t>
            </w:r>
          </w:p>
          <w:p w:rsidR="00EC2ECE" w:rsidRPr="00304F56" w:rsidRDefault="00EC2ECE" w:rsidP="002D76EA">
            <w:pPr>
              <w:jc w:val="both"/>
              <w:rPr>
                <w:rFonts w:ascii="Arial" w:hAnsi="Arial" w:cs="Arial"/>
                <w:b/>
                <w:sz w:val="18"/>
                <w:szCs w:val="18"/>
              </w:rPr>
            </w:pPr>
            <w:r w:rsidRPr="00304F56">
              <w:rPr>
                <w:rFonts w:ascii="Arial" w:hAnsi="Arial" w:cs="Arial"/>
                <w:b/>
                <w:sz w:val="18"/>
                <w:szCs w:val="18"/>
              </w:rPr>
              <w:t>(RM)</w:t>
            </w:r>
          </w:p>
        </w:tc>
        <w:tc>
          <w:tcPr>
            <w:tcW w:w="1890" w:type="dxa"/>
            <w:vAlign w:val="center"/>
          </w:tcPr>
          <w:p w:rsidR="00EC2ECE" w:rsidRPr="00304F56" w:rsidRDefault="00EC2ECE" w:rsidP="002D76EA">
            <w:pPr>
              <w:jc w:val="both"/>
              <w:rPr>
                <w:rFonts w:ascii="Arial" w:hAnsi="Arial" w:cs="Arial"/>
                <w:b/>
                <w:sz w:val="18"/>
                <w:szCs w:val="18"/>
              </w:rPr>
            </w:pPr>
            <w:r w:rsidRPr="00304F56">
              <w:rPr>
                <w:rFonts w:ascii="Arial" w:hAnsi="Arial" w:cs="Arial"/>
                <w:b/>
                <w:sz w:val="18"/>
                <w:szCs w:val="18"/>
              </w:rPr>
              <w:t>Balance</w:t>
            </w:r>
          </w:p>
          <w:p w:rsidR="00EC2ECE" w:rsidRPr="00304F56" w:rsidRDefault="00EC2ECE" w:rsidP="002D76EA">
            <w:pPr>
              <w:jc w:val="both"/>
              <w:rPr>
                <w:rFonts w:ascii="Arial" w:hAnsi="Arial" w:cs="Arial"/>
                <w:b/>
                <w:sz w:val="18"/>
                <w:szCs w:val="18"/>
              </w:rPr>
            </w:pPr>
            <w:r w:rsidRPr="00304F56">
              <w:rPr>
                <w:rFonts w:ascii="Arial" w:hAnsi="Arial" w:cs="Arial"/>
                <w:b/>
                <w:sz w:val="18"/>
                <w:szCs w:val="18"/>
              </w:rPr>
              <w:t>(RM)</w:t>
            </w:r>
          </w:p>
        </w:tc>
      </w:tr>
      <w:tr w:rsidR="00FD456D" w:rsidRPr="00304F56" w:rsidTr="00A63FCA">
        <w:trPr>
          <w:trHeight w:val="288"/>
        </w:trPr>
        <w:tc>
          <w:tcPr>
            <w:tcW w:w="1937" w:type="dxa"/>
            <w:vAlign w:val="center"/>
          </w:tcPr>
          <w:p w:rsidR="00EC2ECE" w:rsidRPr="00304F56" w:rsidRDefault="00EC2ECE" w:rsidP="002D76EA">
            <w:pPr>
              <w:jc w:val="both"/>
              <w:rPr>
                <w:rFonts w:ascii="Arial" w:hAnsi="Arial" w:cs="Arial"/>
                <w:b/>
                <w:sz w:val="18"/>
                <w:szCs w:val="18"/>
              </w:rPr>
            </w:pPr>
          </w:p>
        </w:tc>
        <w:tc>
          <w:tcPr>
            <w:tcW w:w="1618" w:type="dxa"/>
            <w:vAlign w:val="center"/>
          </w:tcPr>
          <w:p w:rsidR="00EC2ECE" w:rsidRPr="00304F56" w:rsidRDefault="00EC2ECE" w:rsidP="002D76EA">
            <w:pPr>
              <w:jc w:val="both"/>
              <w:rPr>
                <w:rFonts w:ascii="Arial" w:hAnsi="Arial" w:cs="Arial"/>
                <w:b/>
                <w:sz w:val="18"/>
                <w:szCs w:val="18"/>
              </w:rPr>
            </w:pPr>
          </w:p>
        </w:tc>
        <w:tc>
          <w:tcPr>
            <w:tcW w:w="2251" w:type="dxa"/>
            <w:vAlign w:val="center"/>
          </w:tcPr>
          <w:p w:rsidR="00EC2ECE" w:rsidRPr="00304F56" w:rsidRDefault="00EC2ECE" w:rsidP="002D76EA">
            <w:pPr>
              <w:jc w:val="both"/>
              <w:rPr>
                <w:rFonts w:ascii="Arial" w:hAnsi="Arial" w:cs="Arial"/>
                <w:b/>
                <w:sz w:val="18"/>
                <w:szCs w:val="18"/>
              </w:rPr>
            </w:pPr>
          </w:p>
        </w:tc>
        <w:tc>
          <w:tcPr>
            <w:tcW w:w="1952" w:type="dxa"/>
            <w:vAlign w:val="center"/>
          </w:tcPr>
          <w:p w:rsidR="00EC2ECE" w:rsidRPr="00304F56" w:rsidRDefault="00EC2ECE" w:rsidP="002D76EA">
            <w:pPr>
              <w:jc w:val="both"/>
              <w:rPr>
                <w:rFonts w:ascii="Arial" w:hAnsi="Arial" w:cs="Arial"/>
                <w:b/>
                <w:sz w:val="18"/>
                <w:szCs w:val="18"/>
              </w:rPr>
            </w:pPr>
          </w:p>
        </w:tc>
        <w:tc>
          <w:tcPr>
            <w:tcW w:w="1890" w:type="dxa"/>
            <w:vAlign w:val="center"/>
          </w:tcPr>
          <w:p w:rsidR="00EC2ECE" w:rsidRPr="00304F56" w:rsidRDefault="00EC2ECE" w:rsidP="002D76EA">
            <w:pPr>
              <w:jc w:val="both"/>
              <w:rPr>
                <w:rFonts w:ascii="Arial" w:hAnsi="Arial" w:cs="Arial"/>
                <w:b/>
                <w:sz w:val="18"/>
                <w:szCs w:val="18"/>
              </w:rPr>
            </w:pPr>
          </w:p>
        </w:tc>
      </w:tr>
      <w:tr w:rsidR="00FD456D" w:rsidRPr="00304F56" w:rsidTr="00A63FCA">
        <w:trPr>
          <w:trHeight w:val="288"/>
        </w:trPr>
        <w:tc>
          <w:tcPr>
            <w:tcW w:w="1937" w:type="dxa"/>
            <w:vAlign w:val="center"/>
          </w:tcPr>
          <w:p w:rsidR="00EC2ECE" w:rsidRPr="00304F56" w:rsidRDefault="00EC2ECE" w:rsidP="002D76EA">
            <w:pPr>
              <w:jc w:val="both"/>
              <w:rPr>
                <w:rFonts w:ascii="Arial" w:hAnsi="Arial" w:cs="Arial"/>
                <w:b/>
                <w:sz w:val="18"/>
                <w:szCs w:val="18"/>
              </w:rPr>
            </w:pPr>
          </w:p>
        </w:tc>
        <w:tc>
          <w:tcPr>
            <w:tcW w:w="1618" w:type="dxa"/>
            <w:vAlign w:val="center"/>
          </w:tcPr>
          <w:p w:rsidR="00EC2ECE" w:rsidRPr="00304F56" w:rsidRDefault="00EC2ECE" w:rsidP="002D76EA">
            <w:pPr>
              <w:jc w:val="both"/>
              <w:rPr>
                <w:rFonts w:ascii="Arial" w:hAnsi="Arial" w:cs="Arial"/>
                <w:b/>
                <w:sz w:val="18"/>
                <w:szCs w:val="18"/>
              </w:rPr>
            </w:pPr>
          </w:p>
        </w:tc>
        <w:tc>
          <w:tcPr>
            <w:tcW w:w="2251" w:type="dxa"/>
            <w:vAlign w:val="center"/>
          </w:tcPr>
          <w:p w:rsidR="00EC2ECE" w:rsidRPr="00304F56" w:rsidRDefault="00EC2ECE" w:rsidP="002D76EA">
            <w:pPr>
              <w:jc w:val="both"/>
              <w:rPr>
                <w:rFonts w:ascii="Arial" w:hAnsi="Arial" w:cs="Arial"/>
                <w:b/>
                <w:sz w:val="18"/>
                <w:szCs w:val="18"/>
              </w:rPr>
            </w:pPr>
          </w:p>
        </w:tc>
        <w:tc>
          <w:tcPr>
            <w:tcW w:w="1952" w:type="dxa"/>
            <w:vAlign w:val="center"/>
          </w:tcPr>
          <w:p w:rsidR="00EC2ECE" w:rsidRPr="00304F56" w:rsidRDefault="00EC2ECE" w:rsidP="002D76EA">
            <w:pPr>
              <w:jc w:val="both"/>
              <w:rPr>
                <w:rFonts w:ascii="Arial" w:hAnsi="Arial" w:cs="Arial"/>
                <w:b/>
                <w:sz w:val="18"/>
                <w:szCs w:val="18"/>
              </w:rPr>
            </w:pPr>
          </w:p>
        </w:tc>
        <w:tc>
          <w:tcPr>
            <w:tcW w:w="1890" w:type="dxa"/>
            <w:vAlign w:val="center"/>
          </w:tcPr>
          <w:p w:rsidR="00EC2ECE" w:rsidRPr="00304F56" w:rsidRDefault="00EC2ECE" w:rsidP="002D76EA">
            <w:pPr>
              <w:jc w:val="both"/>
              <w:rPr>
                <w:rFonts w:ascii="Arial" w:hAnsi="Arial" w:cs="Arial"/>
                <w:b/>
                <w:sz w:val="18"/>
                <w:szCs w:val="18"/>
              </w:rPr>
            </w:pPr>
          </w:p>
        </w:tc>
      </w:tr>
      <w:tr w:rsidR="00FD456D" w:rsidRPr="00304F56" w:rsidTr="00A63FCA">
        <w:trPr>
          <w:trHeight w:val="288"/>
        </w:trPr>
        <w:tc>
          <w:tcPr>
            <w:tcW w:w="1937" w:type="dxa"/>
            <w:vAlign w:val="center"/>
          </w:tcPr>
          <w:p w:rsidR="00EC2ECE" w:rsidRPr="00304F56" w:rsidRDefault="00EC2ECE" w:rsidP="002D76EA">
            <w:pPr>
              <w:jc w:val="both"/>
              <w:rPr>
                <w:rFonts w:ascii="Arial" w:hAnsi="Arial" w:cs="Arial"/>
                <w:b/>
                <w:sz w:val="18"/>
                <w:szCs w:val="18"/>
              </w:rPr>
            </w:pPr>
          </w:p>
        </w:tc>
        <w:tc>
          <w:tcPr>
            <w:tcW w:w="1618" w:type="dxa"/>
            <w:vAlign w:val="center"/>
          </w:tcPr>
          <w:p w:rsidR="00EC2ECE" w:rsidRPr="00304F56" w:rsidRDefault="00EC2ECE" w:rsidP="002D76EA">
            <w:pPr>
              <w:jc w:val="both"/>
              <w:rPr>
                <w:rFonts w:ascii="Arial" w:hAnsi="Arial" w:cs="Arial"/>
                <w:b/>
                <w:sz w:val="18"/>
                <w:szCs w:val="18"/>
              </w:rPr>
            </w:pPr>
          </w:p>
        </w:tc>
        <w:tc>
          <w:tcPr>
            <w:tcW w:w="2251" w:type="dxa"/>
            <w:vAlign w:val="center"/>
          </w:tcPr>
          <w:p w:rsidR="00EC2ECE" w:rsidRPr="00304F56" w:rsidRDefault="00EC2ECE" w:rsidP="002D76EA">
            <w:pPr>
              <w:jc w:val="both"/>
              <w:rPr>
                <w:rFonts w:ascii="Arial" w:hAnsi="Arial" w:cs="Arial"/>
                <w:b/>
                <w:sz w:val="18"/>
                <w:szCs w:val="18"/>
              </w:rPr>
            </w:pPr>
          </w:p>
        </w:tc>
        <w:tc>
          <w:tcPr>
            <w:tcW w:w="1952" w:type="dxa"/>
            <w:vAlign w:val="center"/>
          </w:tcPr>
          <w:p w:rsidR="00EC2ECE" w:rsidRPr="00304F56" w:rsidRDefault="00EC2ECE" w:rsidP="002D76EA">
            <w:pPr>
              <w:jc w:val="both"/>
              <w:rPr>
                <w:rFonts w:ascii="Arial" w:hAnsi="Arial" w:cs="Arial"/>
                <w:b/>
                <w:sz w:val="18"/>
                <w:szCs w:val="18"/>
              </w:rPr>
            </w:pPr>
          </w:p>
        </w:tc>
        <w:tc>
          <w:tcPr>
            <w:tcW w:w="1890" w:type="dxa"/>
            <w:vAlign w:val="center"/>
          </w:tcPr>
          <w:p w:rsidR="00EC2ECE" w:rsidRPr="00304F56" w:rsidRDefault="00EC2ECE" w:rsidP="002D76EA">
            <w:pPr>
              <w:jc w:val="both"/>
              <w:rPr>
                <w:rFonts w:ascii="Arial" w:hAnsi="Arial" w:cs="Arial"/>
                <w:b/>
                <w:sz w:val="18"/>
                <w:szCs w:val="18"/>
              </w:rPr>
            </w:pPr>
          </w:p>
        </w:tc>
      </w:tr>
      <w:tr w:rsidR="00FD456D" w:rsidRPr="00304F56" w:rsidTr="00A63FCA">
        <w:trPr>
          <w:trHeight w:val="288"/>
        </w:trPr>
        <w:tc>
          <w:tcPr>
            <w:tcW w:w="1937" w:type="dxa"/>
            <w:vAlign w:val="center"/>
          </w:tcPr>
          <w:p w:rsidR="00EC2ECE" w:rsidRPr="00304F56" w:rsidRDefault="00EC2ECE" w:rsidP="002D76EA">
            <w:pPr>
              <w:jc w:val="both"/>
              <w:rPr>
                <w:rFonts w:ascii="Arial" w:hAnsi="Arial" w:cs="Arial"/>
                <w:b/>
                <w:sz w:val="18"/>
                <w:szCs w:val="18"/>
              </w:rPr>
            </w:pPr>
          </w:p>
        </w:tc>
        <w:tc>
          <w:tcPr>
            <w:tcW w:w="1618" w:type="dxa"/>
            <w:vAlign w:val="center"/>
          </w:tcPr>
          <w:p w:rsidR="00EC2ECE" w:rsidRPr="00304F56" w:rsidRDefault="00EC2ECE" w:rsidP="002D76EA">
            <w:pPr>
              <w:jc w:val="both"/>
              <w:rPr>
                <w:rFonts w:ascii="Arial" w:hAnsi="Arial" w:cs="Arial"/>
                <w:b/>
                <w:sz w:val="18"/>
                <w:szCs w:val="18"/>
              </w:rPr>
            </w:pPr>
          </w:p>
        </w:tc>
        <w:tc>
          <w:tcPr>
            <w:tcW w:w="2251" w:type="dxa"/>
            <w:vAlign w:val="center"/>
          </w:tcPr>
          <w:p w:rsidR="00EC2ECE" w:rsidRPr="00304F56" w:rsidRDefault="00EC2ECE" w:rsidP="002D76EA">
            <w:pPr>
              <w:jc w:val="both"/>
              <w:rPr>
                <w:rFonts w:ascii="Arial" w:hAnsi="Arial" w:cs="Arial"/>
                <w:b/>
                <w:sz w:val="18"/>
                <w:szCs w:val="18"/>
              </w:rPr>
            </w:pPr>
          </w:p>
        </w:tc>
        <w:tc>
          <w:tcPr>
            <w:tcW w:w="1952" w:type="dxa"/>
            <w:vAlign w:val="center"/>
          </w:tcPr>
          <w:p w:rsidR="00EC2ECE" w:rsidRPr="00304F56" w:rsidRDefault="00EC2ECE" w:rsidP="002D76EA">
            <w:pPr>
              <w:jc w:val="both"/>
              <w:rPr>
                <w:rFonts w:ascii="Arial" w:hAnsi="Arial" w:cs="Arial"/>
                <w:b/>
                <w:sz w:val="18"/>
                <w:szCs w:val="18"/>
              </w:rPr>
            </w:pPr>
          </w:p>
        </w:tc>
        <w:tc>
          <w:tcPr>
            <w:tcW w:w="1890" w:type="dxa"/>
            <w:vAlign w:val="center"/>
          </w:tcPr>
          <w:p w:rsidR="00EC2ECE" w:rsidRPr="00304F56" w:rsidRDefault="00EC2ECE" w:rsidP="002D76EA">
            <w:pPr>
              <w:jc w:val="both"/>
              <w:rPr>
                <w:rFonts w:ascii="Arial" w:hAnsi="Arial" w:cs="Arial"/>
                <w:b/>
                <w:sz w:val="18"/>
                <w:szCs w:val="18"/>
              </w:rPr>
            </w:pPr>
          </w:p>
        </w:tc>
      </w:tr>
      <w:tr w:rsidR="00FD456D" w:rsidRPr="00304F56" w:rsidTr="00A63FCA">
        <w:trPr>
          <w:trHeight w:val="288"/>
        </w:trPr>
        <w:tc>
          <w:tcPr>
            <w:tcW w:w="1937" w:type="dxa"/>
            <w:vAlign w:val="center"/>
          </w:tcPr>
          <w:p w:rsidR="00EC2ECE" w:rsidRPr="00304F56" w:rsidRDefault="00EC2ECE" w:rsidP="002D76EA">
            <w:pPr>
              <w:jc w:val="both"/>
              <w:rPr>
                <w:rFonts w:ascii="Arial" w:hAnsi="Arial" w:cs="Arial"/>
                <w:b/>
                <w:sz w:val="18"/>
                <w:szCs w:val="18"/>
              </w:rPr>
            </w:pPr>
          </w:p>
        </w:tc>
        <w:tc>
          <w:tcPr>
            <w:tcW w:w="1618" w:type="dxa"/>
            <w:vAlign w:val="center"/>
          </w:tcPr>
          <w:p w:rsidR="00EC2ECE" w:rsidRPr="00304F56" w:rsidRDefault="00EC2ECE" w:rsidP="002D76EA">
            <w:pPr>
              <w:jc w:val="both"/>
              <w:rPr>
                <w:rFonts w:ascii="Arial" w:hAnsi="Arial" w:cs="Arial"/>
                <w:b/>
                <w:sz w:val="18"/>
                <w:szCs w:val="18"/>
              </w:rPr>
            </w:pPr>
          </w:p>
        </w:tc>
        <w:tc>
          <w:tcPr>
            <w:tcW w:w="2251" w:type="dxa"/>
            <w:vAlign w:val="center"/>
          </w:tcPr>
          <w:p w:rsidR="00EC2ECE" w:rsidRPr="00304F56" w:rsidRDefault="00EC2ECE" w:rsidP="002D76EA">
            <w:pPr>
              <w:jc w:val="both"/>
              <w:rPr>
                <w:rFonts w:ascii="Arial" w:hAnsi="Arial" w:cs="Arial"/>
                <w:b/>
                <w:sz w:val="18"/>
                <w:szCs w:val="18"/>
              </w:rPr>
            </w:pPr>
          </w:p>
        </w:tc>
        <w:tc>
          <w:tcPr>
            <w:tcW w:w="1952" w:type="dxa"/>
            <w:vAlign w:val="center"/>
          </w:tcPr>
          <w:p w:rsidR="00EC2ECE" w:rsidRPr="00304F56" w:rsidRDefault="00EC2ECE" w:rsidP="002D76EA">
            <w:pPr>
              <w:jc w:val="both"/>
              <w:rPr>
                <w:rFonts w:ascii="Arial" w:hAnsi="Arial" w:cs="Arial"/>
                <w:b/>
                <w:sz w:val="18"/>
                <w:szCs w:val="18"/>
              </w:rPr>
            </w:pPr>
          </w:p>
        </w:tc>
        <w:tc>
          <w:tcPr>
            <w:tcW w:w="1890" w:type="dxa"/>
            <w:vAlign w:val="center"/>
          </w:tcPr>
          <w:p w:rsidR="00EC2ECE" w:rsidRPr="00304F56" w:rsidRDefault="00EC2ECE" w:rsidP="002D76EA">
            <w:pPr>
              <w:jc w:val="both"/>
              <w:rPr>
                <w:rFonts w:ascii="Arial" w:hAnsi="Arial" w:cs="Arial"/>
                <w:b/>
                <w:sz w:val="18"/>
                <w:szCs w:val="18"/>
              </w:rPr>
            </w:pPr>
          </w:p>
        </w:tc>
      </w:tr>
      <w:tr w:rsidR="00FD456D" w:rsidRPr="00304F56" w:rsidTr="00A63FCA">
        <w:trPr>
          <w:trHeight w:val="288"/>
        </w:trPr>
        <w:tc>
          <w:tcPr>
            <w:tcW w:w="1937" w:type="dxa"/>
            <w:vAlign w:val="center"/>
          </w:tcPr>
          <w:p w:rsidR="00EC2ECE" w:rsidRPr="00304F56" w:rsidRDefault="00EC2ECE" w:rsidP="002D76EA">
            <w:pPr>
              <w:jc w:val="both"/>
              <w:rPr>
                <w:rFonts w:ascii="Arial" w:hAnsi="Arial" w:cs="Arial"/>
                <w:b/>
                <w:sz w:val="18"/>
                <w:szCs w:val="18"/>
              </w:rPr>
            </w:pPr>
          </w:p>
        </w:tc>
        <w:tc>
          <w:tcPr>
            <w:tcW w:w="1618" w:type="dxa"/>
            <w:vAlign w:val="center"/>
          </w:tcPr>
          <w:p w:rsidR="00EC2ECE" w:rsidRPr="00304F56" w:rsidRDefault="00EC2ECE" w:rsidP="002D76EA">
            <w:pPr>
              <w:jc w:val="both"/>
              <w:rPr>
                <w:rFonts w:ascii="Arial" w:hAnsi="Arial" w:cs="Arial"/>
                <w:b/>
                <w:sz w:val="18"/>
                <w:szCs w:val="18"/>
              </w:rPr>
            </w:pPr>
          </w:p>
        </w:tc>
        <w:tc>
          <w:tcPr>
            <w:tcW w:w="2251" w:type="dxa"/>
            <w:vAlign w:val="center"/>
          </w:tcPr>
          <w:p w:rsidR="00EC2ECE" w:rsidRPr="00304F56" w:rsidRDefault="00EC2ECE" w:rsidP="002D76EA">
            <w:pPr>
              <w:jc w:val="both"/>
              <w:rPr>
                <w:rFonts w:ascii="Arial" w:hAnsi="Arial" w:cs="Arial"/>
                <w:b/>
                <w:sz w:val="18"/>
                <w:szCs w:val="18"/>
              </w:rPr>
            </w:pPr>
          </w:p>
        </w:tc>
        <w:tc>
          <w:tcPr>
            <w:tcW w:w="1952" w:type="dxa"/>
            <w:vAlign w:val="center"/>
          </w:tcPr>
          <w:p w:rsidR="00EC2ECE" w:rsidRPr="00304F56" w:rsidRDefault="00EC2ECE" w:rsidP="002D76EA">
            <w:pPr>
              <w:jc w:val="both"/>
              <w:rPr>
                <w:rFonts w:ascii="Arial" w:hAnsi="Arial" w:cs="Arial"/>
                <w:b/>
                <w:sz w:val="18"/>
                <w:szCs w:val="18"/>
              </w:rPr>
            </w:pPr>
          </w:p>
        </w:tc>
        <w:tc>
          <w:tcPr>
            <w:tcW w:w="1890" w:type="dxa"/>
            <w:vAlign w:val="center"/>
          </w:tcPr>
          <w:p w:rsidR="00EC2ECE" w:rsidRPr="00304F56" w:rsidRDefault="00EC2ECE" w:rsidP="002D76EA">
            <w:pPr>
              <w:jc w:val="both"/>
              <w:rPr>
                <w:rFonts w:ascii="Arial" w:hAnsi="Arial" w:cs="Arial"/>
                <w:b/>
                <w:sz w:val="18"/>
                <w:szCs w:val="18"/>
              </w:rPr>
            </w:pPr>
          </w:p>
        </w:tc>
      </w:tr>
      <w:tr w:rsidR="00FD456D" w:rsidRPr="00304F56" w:rsidTr="00A63FCA">
        <w:trPr>
          <w:trHeight w:val="288"/>
        </w:trPr>
        <w:tc>
          <w:tcPr>
            <w:tcW w:w="1937" w:type="dxa"/>
            <w:vAlign w:val="center"/>
          </w:tcPr>
          <w:p w:rsidR="00B929D2" w:rsidRPr="00304F56" w:rsidRDefault="00B929D2" w:rsidP="002D76EA">
            <w:pPr>
              <w:jc w:val="both"/>
              <w:rPr>
                <w:rFonts w:ascii="Arial" w:hAnsi="Arial" w:cs="Arial"/>
                <w:b/>
                <w:sz w:val="18"/>
                <w:szCs w:val="18"/>
              </w:rPr>
            </w:pPr>
          </w:p>
        </w:tc>
        <w:tc>
          <w:tcPr>
            <w:tcW w:w="1618" w:type="dxa"/>
            <w:vAlign w:val="center"/>
          </w:tcPr>
          <w:p w:rsidR="00B929D2" w:rsidRPr="00304F56" w:rsidRDefault="00B929D2" w:rsidP="002D76EA">
            <w:pPr>
              <w:jc w:val="both"/>
              <w:rPr>
                <w:rFonts w:ascii="Arial" w:hAnsi="Arial" w:cs="Arial"/>
                <w:b/>
                <w:sz w:val="18"/>
                <w:szCs w:val="18"/>
              </w:rPr>
            </w:pPr>
          </w:p>
        </w:tc>
        <w:tc>
          <w:tcPr>
            <w:tcW w:w="2251" w:type="dxa"/>
            <w:vAlign w:val="center"/>
          </w:tcPr>
          <w:p w:rsidR="00B929D2" w:rsidRPr="00304F56" w:rsidRDefault="00B929D2" w:rsidP="002D76EA">
            <w:pPr>
              <w:jc w:val="both"/>
              <w:rPr>
                <w:rFonts w:ascii="Arial" w:hAnsi="Arial" w:cs="Arial"/>
                <w:b/>
                <w:sz w:val="18"/>
                <w:szCs w:val="18"/>
              </w:rPr>
            </w:pPr>
          </w:p>
        </w:tc>
        <w:tc>
          <w:tcPr>
            <w:tcW w:w="1952" w:type="dxa"/>
            <w:vAlign w:val="center"/>
          </w:tcPr>
          <w:p w:rsidR="00B929D2" w:rsidRPr="00304F56" w:rsidRDefault="00B929D2" w:rsidP="002D76EA">
            <w:pPr>
              <w:jc w:val="both"/>
              <w:rPr>
                <w:rFonts w:ascii="Arial" w:hAnsi="Arial" w:cs="Arial"/>
                <w:b/>
                <w:sz w:val="18"/>
                <w:szCs w:val="18"/>
              </w:rPr>
            </w:pPr>
          </w:p>
        </w:tc>
        <w:tc>
          <w:tcPr>
            <w:tcW w:w="1890" w:type="dxa"/>
            <w:vAlign w:val="center"/>
          </w:tcPr>
          <w:p w:rsidR="00B929D2" w:rsidRPr="00304F56" w:rsidRDefault="00B929D2" w:rsidP="002D76EA">
            <w:pPr>
              <w:jc w:val="both"/>
              <w:rPr>
                <w:rFonts w:ascii="Arial" w:hAnsi="Arial" w:cs="Arial"/>
                <w:b/>
                <w:sz w:val="18"/>
                <w:szCs w:val="18"/>
              </w:rPr>
            </w:pPr>
          </w:p>
        </w:tc>
      </w:tr>
      <w:tr w:rsidR="00FD456D" w:rsidRPr="00304F56" w:rsidTr="00A63FCA">
        <w:trPr>
          <w:trHeight w:val="288"/>
        </w:trPr>
        <w:tc>
          <w:tcPr>
            <w:tcW w:w="1937" w:type="dxa"/>
            <w:vAlign w:val="center"/>
          </w:tcPr>
          <w:p w:rsidR="00B929D2" w:rsidRPr="00304F56" w:rsidRDefault="00B929D2" w:rsidP="002D76EA">
            <w:pPr>
              <w:jc w:val="both"/>
              <w:rPr>
                <w:rFonts w:ascii="Arial" w:hAnsi="Arial" w:cs="Arial"/>
                <w:b/>
                <w:sz w:val="18"/>
                <w:szCs w:val="18"/>
              </w:rPr>
            </w:pPr>
          </w:p>
        </w:tc>
        <w:tc>
          <w:tcPr>
            <w:tcW w:w="1618" w:type="dxa"/>
            <w:vAlign w:val="center"/>
          </w:tcPr>
          <w:p w:rsidR="00B929D2" w:rsidRPr="00304F56" w:rsidRDefault="00B929D2" w:rsidP="002D76EA">
            <w:pPr>
              <w:jc w:val="both"/>
              <w:rPr>
                <w:rFonts w:ascii="Arial" w:hAnsi="Arial" w:cs="Arial"/>
                <w:b/>
                <w:sz w:val="18"/>
                <w:szCs w:val="18"/>
              </w:rPr>
            </w:pPr>
          </w:p>
        </w:tc>
        <w:tc>
          <w:tcPr>
            <w:tcW w:w="2251" w:type="dxa"/>
            <w:vAlign w:val="center"/>
          </w:tcPr>
          <w:p w:rsidR="00B929D2" w:rsidRPr="00304F56" w:rsidRDefault="00B929D2" w:rsidP="002D76EA">
            <w:pPr>
              <w:jc w:val="both"/>
              <w:rPr>
                <w:rFonts w:ascii="Arial" w:hAnsi="Arial" w:cs="Arial"/>
                <w:b/>
                <w:sz w:val="18"/>
                <w:szCs w:val="18"/>
              </w:rPr>
            </w:pPr>
          </w:p>
        </w:tc>
        <w:tc>
          <w:tcPr>
            <w:tcW w:w="1952" w:type="dxa"/>
            <w:vAlign w:val="center"/>
          </w:tcPr>
          <w:p w:rsidR="00B929D2" w:rsidRPr="00304F56" w:rsidRDefault="00B929D2" w:rsidP="002D76EA">
            <w:pPr>
              <w:jc w:val="both"/>
              <w:rPr>
                <w:rFonts w:ascii="Arial" w:hAnsi="Arial" w:cs="Arial"/>
                <w:b/>
                <w:sz w:val="18"/>
                <w:szCs w:val="18"/>
              </w:rPr>
            </w:pPr>
          </w:p>
        </w:tc>
        <w:tc>
          <w:tcPr>
            <w:tcW w:w="1890" w:type="dxa"/>
            <w:vAlign w:val="center"/>
          </w:tcPr>
          <w:p w:rsidR="00B929D2" w:rsidRPr="00304F56" w:rsidRDefault="00B929D2" w:rsidP="002D76EA">
            <w:pPr>
              <w:jc w:val="both"/>
              <w:rPr>
                <w:rFonts w:ascii="Arial" w:hAnsi="Arial" w:cs="Arial"/>
                <w:b/>
                <w:sz w:val="18"/>
                <w:szCs w:val="18"/>
              </w:rPr>
            </w:pPr>
          </w:p>
        </w:tc>
      </w:tr>
      <w:tr w:rsidR="00FD456D" w:rsidRPr="00304F56" w:rsidTr="00A63FCA">
        <w:trPr>
          <w:trHeight w:val="288"/>
        </w:trPr>
        <w:tc>
          <w:tcPr>
            <w:tcW w:w="1937" w:type="dxa"/>
            <w:vAlign w:val="center"/>
          </w:tcPr>
          <w:p w:rsidR="00B929D2" w:rsidRPr="00304F56" w:rsidRDefault="00B929D2" w:rsidP="002D76EA">
            <w:pPr>
              <w:jc w:val="both"/>
              <w:rPr>
                <w:rFonts w:ascii="Arial" w:hAnsi="Arial" w:cs="Arial"/>
                <w:b/>
                <w:sz w:val="18"/>
                <w:szCs w:val="18"/>
              </w:rPr>
            </w:pPr>
          </w:p>
        </w:tc>
        <w:tc>
          <w:tcPr>
            <w:tcW w:w="1618" w:type="dxa"/>
            <w:vAlign w:val="center"/>
          </w:tcPr>
          <w:p w:rsidR="00B929D2" w:rsidRPr="00304F56" w:rsidRDefault="00B929D2" w:rsidP="002D76EA">
            <w:pPr>
              <w:jc w:val="both"/>
              <w:rPr>
                <w:rFonts w:ascii="Arial" w:hAnsi="Arial" w:cs="Arial"/>
                <w:b/>
                <w:sz w:val="18"/>
                <w:szCs w:val="18"/>
              </w:rPr>
            </w:pPr>
          </w:p>
        </w:tc>
        <w:tc>
          <w:tcPr>
            <w:tcW w:w="2251" w:type="dxa"/>
            <w:vAlign w:val="center"/>
          </w:tcPr>
          <w:p w:rsidR="00B929D2" w:rsidRPr="00304F56" w:rsidRDefault="00B929D2" w:rsidP="002D76EA">
            <w:pPr>
              <w:jc w:val="both"/>
              <w:rPr>
                <w:rFonts w:ascii="Arial" w:hAnsi="Arial" w:cs="Arial"/>
                <w:b/>
                <w:sz w:val="18"/>
                <w:szCs w:val="18"/>
              </w:rPr>
            </w:pPr>
          </w:p>
        </w:tc>
        <w:tc>
          <w:tcPr>
            <w:tcW w:w="1952" w:type="dxa"/>
            <w:vAlign w:val="center"/>
          </w:tcPr>
          <w:p w:rsidR="00B929D2" w:rsidRPr="00304F56" w:rsidRDefault="00B929D2" w:rsidP="002D76EA">
            <w:pPr>
              <w:jc w:val="both"/>
              <w:rPr>
                <w:rFonts w:ascii="Arial" w:hAnsi="Arial" w:cs="Arial"/>
                <w:b/>
                <w:sz w:val="18"/>
                <w:szCs w:val="18"/>
              </w:rPr>
            </w:pPr>
          </w:p>
        </w:tc>
        <w:tc>
          <w:tcPr>
            <w:tcW w:w="1890" w:type="dxa"/>
            <w:vAlign w:val="center"/>
          </w:tcPr>
          <w:p w:rsidR="00B929D2" w:rsidRPr="00304F56" w:rsidRDefault="00B929D2" w:rsidP="002D76EA">
            <w:pPr>
              <w:jc w:val="both"/>
              <w:rPr>
                <w:rFonts w:ascii="Arial" w:hAnsi="Arial" w:cs="Arial"/>
                <w:b/>
                <w:sz w:val="18"/>
                <w:szCs w:val="18"/>
              </w:rPr>
            </w:pPr>
          </w:p>
        </w:tc>
      </w:tr>
      <w:tr w:rsidR="00FD456D" w:rsidRPr="00304F56" w:rsidTr="00A63FCA">
        <w:trPr>
          <w:trHeight w:val="422"/>
        </w:trPr>
        <w:tc>
          <w:tcPr>
            <w:tcW w:w="1937" w:type="dxa"/>
            <w:vAlign w:val="center"/>
          </w:tcPr>
          <w:p w:rsidR="00EC2ECE" w:rsidRPr="00304F56" w:rsidRDefault="00EC2ECE" w:rsidP="002D76EA">
            <w:pPr>
              <w:jc w:val="both"/>
              <w:rPr>
                <w:rFonts w:ascii="Arial" w:hAnsi="Arial" w:cs="Arial"/>
                <w:b/>
                <w:sz w:val="18"/>
                <w:szCs w:val="18"/>
              </w:rPr>
            </w:pPr>
            <w:r w:rsidRPr="00304F56">
              <w:rPr>
                <w:rFonts w:ascii="Arial" w:hAnsi="Arial" w:cs="Arial"/>
                <w:b/>
                <w:sz w:val="18"/>
                <w:szCs w:val="18"/>
              </w:rPr>
              <w:t>TOTAL</w:t>
            </w:r>
          </w:p>
        </w:tc>
        <w:tc>
          <w:tcPr>
            <w:tcW w:w="1618" w:type="dxa"/>
          </w:tcPr>
          <w:p w:rsidR="00EC2ECE" w:rsidRPr="00304F56" w:rsidRDefault="00EC2ECE" w:rsidP="002D76EA">
            <w:pPr>
              <w:jc w:val="both"/>
              <w:rPr>
                <w:rFonts w:ascii="Arial" w:hAnsi="Arial" w:cs="Arial"/>
                <w:b/>
                <w:sz w:val="18"/>
                <w:szCs w:val="18"/>
              </w:rPr>
            </w:pPr>
          </w:p>
        </w:tc>
        <w:tc>
          <w:tcPr>
            <w:tcW w:w="2251" w:type="dxa"/>
          </w:tcPr>
          <w:p w:rsidR="00EC2ECE" w:rsidRPr="00304F56" w:rsidRDefault="00EC2ECE" w:rsidP="002D76EA">
            <w:pPr>
              <w:jc w:val="both"/>
              <w:rPr>
                <w:rFonts w:ascii="Arial" w:hAnsi="Arial" w:cs="Arial"/>
                <w:b/>
                <w:sz w:val="18"/>
                <w:szCs w:val="18"/>
              </w:rPr>
            </w:pPr>
          </w:p>
        </w:tc>
        <w:tc>
          <w:tcPr>
            <w:tcW w:w="1952" w:type="dxa"/>
          </w:tcPr>
          <w:p w:rsidR="00EC2ECE" w:rsidRPr="00304F56" w:rsidRDefault="00EC2ECE" w:rsidP="002D76EA">
            <w:pPr>
              <w:jc w:val="both"/>
              <w:rPr>
                <w:rFonts w:ascii="Arial" w:hAnsi="Arial" w:cs="Arial"/>
                <w:b/>
                <w:sz w:val="18"/>
                <w:szCs w:val="18"/>
              </w:rPr>
            </w:pPr>
          </w:p>
        </w:tc>
        <w:tc>
          <w:tcPr>
            <w:tcW w:w="1890" w:type="dxa"/>
          </w:tcPr>
          <w:p w:rsidR="00EC2ECE" w:rsidRPr="00304F56" w:rsidRDefault="00EC2ECE" w:rsidP="002D76EA">
            <w:pPr>
              <w:jc w:val="both"/>
              <w:rPr>
                <w:rFonts w:ascii="Arial" w:hAnsi="Arial" w:cs="Arial"/>
                <w:b/>
                <w:sz w:val="18"/>
                <w:szCs w:val="18"/>
              </w:rPr>
            </w:pPr>
          </w:p>
        </w:tc>
      </w:tr>
    </w:tbl>
    <w:p w:rsidR="00040DDC" w:rsidRPr="00304F56" w:rsidRDefault="00040DDC" w:rsidP="002D76EA">
      <w:pPr>
        <w:jc w:val="both"/>
        <w:rPr>
          <w:rFonts w:ascii="Arial" w:hAnsi="Arial" w:cs="Arial"/>
          <w:b/>
        </w:rPr>
      </w:pPr>
    </w:p>
    <w:p w:rsidR="00020571" w:rsidRPr="00304F56" w:rsidRDefault="00020571" w:rsidP="002D76EA">
      <w:pPr>
        <w:jc w:val="both"/>
        <w:rPr>
          <w:rFonts w:ascii="Arial" w:hAnsi="Arial" w:cs="Arial"/>
          <w:b/>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020571" w:rsidRPr="00304F56" w:rsidTr="00992EAE">
        <w:trPr>
          <w:trHeight w:val="432"/>
        </w:trPr>
        <w:tc>
          <w:tcPr>
            <w:tcW w:w="9648" w:type="dxa"/>
            <w:tcBorders>
              <w:top w:val="single" w:sz="12" w:space="0" w:color="000000"/>
              <w:left w:val="single" w:sz="12" w:space="0" w:color="000000"/>
              <w:bottom w:val="single" w:sz="12" w:space="0" w:color="000000"/>
              <w:right w:val="single" w:sz="12" w:space="0" w:color="000000"/>
            </w:tcBorders>
            <w:vAlign w:val="center"/>
          </w:tcPr>
          <w:p w:rsidR="00020571" w:rsidRPr="00304F56" w:rsidRDefault="00020571" w:rsidP="002D76EA">
            <w:pPr>
              <w:numPr>
                <w:ilvl w:val="0"/>
                <w:numId w:val="25"/>
              </w:numPr>
              <w:ind w:left="720"/>
              <w:jc w:val="both"/>
              <w:rPr>
                <w:rFonts w:ascii="Arial" w:hAnsi="Arial" w:cs="Arial"/>
                <w:b/>
                <w:color w:val="030799"/>
                <w:sz w:val="28"/>
                <w:szCs w:val="28"/>
              </w:rPr>
            </w:pPr>
            <w:r w:rsidRPr="00304F56">
              <w:rPr>
                <w:rFonts w:ascii="Arial" w:hAnsi="Arial" w:cs="Arial"/>
                <w:b/>
                <w:color w:val="030799"/>
                <w:sz w:val="28"/>
                <w:szCs w:val="28"/>
              </w:rPr>
              <w:lastRenderedPageBreak/>
              <w:t>EQUIPMENT/ASSET PURCHASED</w:t>
            </w:r>
          </w:p>
        </w:tc>
      </w:tr>
    </w:tbl>
    <w:p w:rsidR="00020571" w:rsidRPr="00304F56" w:rsidRDefault="00020571" w:rsidP="002D76EA">
      <w:pPr>
        <w:jc w:val="both"/>
        <w:rPr>
          <w:rFonts w:ascii="Arial" w:hAnsi="Arial" w:cs="Arial"/>
          <w:b/>
        </w:rPr>
      </w:pPr>
    </w:p>
    <w:tbl>
      <w:tblPr>
        <w:tblW w:w="52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4158"/>
        <w:gridCol w:w="4885"/>
      </w:tblGrid>
      <w:tr w:rsidR="00563134" w:rsidRPr="00304F56" w:rsidTr="006A5BB3">
        <w:trPr>
          <w:trHeight w:val="368"/>
        </w:trPr>
        <w:tc>
          <w:tcPr>
            <w:tcW w:w="281" w:type="pct"/>
            <w:vAlign w:val="center"/>
          </w:tcPr>
          <w:p w:rsidR="00563134" w:rsidRPr="00304F56" w:rsidRDefault="00563134" w:rsidP="002D76EA">
            <w:pPr>
              <w:jc w:val="both"/>
              <w:rPr>
                <w:rFonts w:ascii="Arial" w:hAnsi="Arial" w:cs="Arial"/>
                <w:b/>
                <w:sz w:val="20"/>
                <w:szCs w:val="20"/>
              </w:rPr>
            </w:pPr>
            <w:r w:rsidRPr="00304F56">
              <w:rPr>
                <w:rFonts w:ascii="Arial" w:hAnsi="Arial" w:cs="Arial"/>
                <w:b/>
                <w:sz w:val="20"/>
                <w:szCs w:val="20"/>
              </w:rPr>
              <w:t>No.</w:t>
            </w:r>
          </w:p>
        </w:tc>
        <w:tc>
          <w:tcPr>
            <w:tcW w:w="2170" w:type="pct"/>
            <w:vAlign w:val="center"/>
          </w:tcPr>
          <w:p w:rsidR="00563134" w:rsidRPr="00304F56" w:rsidRDefault="00563134" w:rsidP="002D76EA">
            <w:pPr>
              <w:jc w:val="both"/>
              <w:rPr>
                <w:rFonts w:ascii="Arial" w:hAnsi="Arial" w:cs="Arial"/>
                <w:b/>
                <w:sz w:val="20"/>
                <w:szCs w:val="20"/>
              </w:rPr>
            </w:pPr>
            <w:r w:rsidRPr="00304F56">
              <w:rPr>
                <w:rFonts w:ascii="Arial" w:hAnsi="Arial" w:cs="Arial"/>
                <w:b/>
                <w:sz w:val="20"/>
                <w:szCs w:val="20"/>
              </w:rPr>
              <w:t xml:space="preserve">Item </w:t>
            </w:r>
          </w:p>
        </w:tc>
        <w:tc>
          <w:tcPr>
            <w:tcW w:w="2549" w:type="pct"/>
            <w:vAlign w:val="center"/>
          </w:tcPr>
          <w:p w:rsidR="00563134" w:rsidRPr="00304F56" w:rsidRDefault="00563134" w:rsidP="002D76EA">
            <w:pPr>
              <w:jc w:val="both"/>
              <w:rPr>
                <w:rFonts w:ascii="Arial" w:hAnsi="Arial" w:cs="Arial"/>
                <w:b/>
                <w:sz w:val="20"/>
                <w:szCs w:val="20"/>
              </w:rPr>
            </w:pPr>
            <w:r w:rsidRPr="00304F56">
              <w:rPr>
                <w:rFonts w:ascii="Arial" w:hAnsi="Arial" w:cs="Arial"/>
                <w:b/>
                <w:sz w:val="20"/>
                <w:szCs w:val="20"/>
              </w:rPr>
              <w:t>Placement</w:t>
            </w:r>
          </w:p>
          <w:p w:rsidR="00563134" w:rsidRPr="00304F56" w:rsidRDefault="00563134" w:rsidP="002D76EA">
            <w:pPr>
              <w:jc w:val="both"/>
              <w:rPr>
                <w:rFonts w:ascii="Arial" w:hAnsi="Arial" w:cs="Arial"/>
                <w:b/>
                <w:i/>
                <w:sz w:val="20"/>
                <w:szCs w:val="20"/>
              </w:rPr>
            </w:pPr>
            <w:r w:rsidRPr="00304F56">
              <w:rPr>
                <w:rFonts w:ascii="Arial" w:hAnsi="Arial" w:cs="Arial"/>
                <w:b/>
                <w:sz w:val="20"/>
                <w:szCs w:val="20"/>
              </w:rPr>
              <w:t>(</w:t>
            </w:r>
            <w:r w:rsidRPr="00304F56">
              <w:rPr>
                <w:rFonts w:ascii="Arial" w:hAnsi="Arial" w:cs="Arial"/>
                <w:b/>
                <w:i/>
                <w:sz w:val="20"/>
                <w:szCs w:val="20"/>
              </w:rPr>
              <w:t>please state specific location)</w:t>
            </w:r>
          </w:p>
        </w:tc>
      </w:tr>
      <w:tr w:rsidR="00563134" w:rsidRPr="00304F56" w:rsidTr="006A5BB3">
        <w:trPr>
          <w:trHeight w:val="288"/>
        </w:trPr>
        <w:tc>
          <w:tcPr>
            <w:tcW w:w="281" w:type="pct"/>
            <w:vAlign w:val="center"/>
          </w:tcPr>
          <w:p w:rsidR="00563134" w:rsidRPr="00304F56" w:rsidRDefault="00563134" w:rsidP="002D76EA">
            <w:pPr>
              <w:jc w:val="both"/>
              <w:rPr>
                <w:rFonts w:ascii="Arial" w:hAnsi="Arial" w:cs="Arial"/>
                <w:b/>
                <w:sz w:val="20"/>
                <w:szCs w:val="20"/>
              </w:rPr>
            </w:pPr>
          </w:p>
        </w:tc>
        <w:tc>
          <w:tcPr>
            <w:tcW w:w="2170" w:type="pct"/>
            <w:vAlign w:val="center"/>
          </w:tcPr>
          <w:p w:rsidR="00563134" w:rsidRPr="00304F56" w:rsidRDefault="00563134" w:rsidP="002D76EA">
            <w:pPr>
              <w:jc w:val="both"/>
              <w:rPr>
                <w:rFonts w:ascii="Arial" w:hAnsi="Arial" w:cs="Arial"/>
                <w:b/>
                <w:sz w:val="20"/>
                <w:szCs w:val="20"/>
              </w:rPr>
            </w:pPr>
          </w:p>
        </w:tc>
        <w:tc>
          <w:tcPr>
            <w:tcW w:w="2549" w:type="pct"/>
            <w:vAlign w:val="center"/>
          </w:tcPr>
          <w:p w:rsidR="00563134" w:rsidRPr="00304F56" w:rsidRDefault="00563134" w:rsidP="002D76EA">
            <w:pPr>
              <w:jc w:val="both"/>
              <w:rPr>
                <w:rFonts w:ascii="Arial" w:hAnsi="Arial" w:cs="Arial"/>
                <w:b/>
                <w:sz w:val="20"/>
                <w:szCs w:val="20"/>
              </w:rPr>
            </w:pPr>
          </w:p>
        </w:tc>
      </w:tr>
      <w:tr w:rsidR="00563134" w:rsidRPr="00304F56" w:rsidTr="006A5BB3">
        <w:trPr>
          <w:trHeight w:val="288"/>
        </w:trPr>
        <w:tc>
          <w:tcPr>
            <w:tcW w:w="281" w:type="pct"/>
            <w:vAlign w:val="center"/>
          </w:tcPr>
          <w:p w:rsidR="00563134" w:rsidRPr="00304F56" w:rsidRDefault="00563134" w:rsidP="002D76EA">
            <w:pPr>
              <w:jc w:val="both"/>
              <w:rPr>
                <w:rFonts w:ascii="Arial" w:hAnsi="Arial" w:cs="Arial"/>
                <w:b/>
                <w:sz w:val="20"/>
                <w:szCs w:val="20"/>
              </w:rPr>
            </w:pPr>
          </w:p>
        </w:tc>
        <w:tc>
          <w:tcPr>
            <w:tcW w:w="2170" w:type="pct"/>
            <w:vAlign w:val="center"/>
          </w:tcPr>
          <w:p w:rsidR="00563134" w:rsidRPr="00304F56" w:rsidRDefault="00563134" w:rsidP="002D76EA">
            <w:pPr>
              <w:jc w:val="both"/>
              <w:rPr>
                <w:rFonts w:ascii="Arial" w:hAnsi="Arial" w:cs="Arial"/>
                <w:b/>
                <w:sz w:val="20"/>
                <w:szCs w:val="20"/>
              </w:rPr>
            </w:pPr>
          </w:p>
        </w:tc>
        <w:tc>
          <w:tcPr>
            <w:tcW w:w="2549" w:type="pct"/>
            <w:vAlign w:val="center"/>
          </w:tcPr>
          <w:p w:rsidR="00563134" w:rsidRPr="00304F56" w:rsidRDefault="00563134" w:rsidP="002D76EA">
            <w:pPr>
              <w:jc w:val="both"/>
              <w:rPr>
                <w:rFonts w:ascii="Arial" w:hAnsi="Arial" w:cs="Arial"/>
                <w:b/>
                <w:sz w:val="20"/>
                <w:szCs w:val="20"/>
              </w:rPr>
            </w:pPr>
          </w:p>
        </w:tc>
      </w:tr>
      <w:tr w:rsidR="00563134" w:rsidRPr="00304F56" w:rsidTr="006A5BB3">
        <w:trPr>
          <w:trHeight w:val="288"/>
        </w:trPr>
        <w:tc>
          <w:tcPr>
            <w:tcW w:w="281" w:type="pct"/>
            <w:vAlign w:val="center"/>
          </w:tcPr>
          <w:p w:rsidR="00563134" w:rsidRPr="00304F56" w:rsidRDefault="00563134" w:rsidP="002D76EA">
            <w:pPr>
              <w:jc w:val="both"/>
              <w:rPr>
                <w:rFonts w:ascii="Arial" w:hAnsi="Arial" w:cs="Arial"/>
                <w:b/>
                <w:sz w:val="20"/>
                <w:szCs w:val="20"/>
              </w:rPr>
            </w:pPr>
          </w:p>
        </w:tc>
        <w:tc>
          <w:tcPr>
            <w:tcW w:w="2170" w:type="pct"/>
            <w:vAlign w:val="center"/>
          </w:tcPr>
          <w:p w:rsidR="00563134" w:rsidRPr="00304F56" w:rsidRDefault="00563134" w:rsidP="002D76EA">
            <w:pPr>
              <w:jc w:val="both"/>
              <w:rPr>
                <w:rFonts w:ascii="Arial" w:hAnsi="Arial" w:cs="Arial"/>
                <w:b/>
                <w:sz w:val="20"/>
                <w:szCs w:val="20"/>
              </w:rPr>
            </w:pPr>
          </w:p>
        </w:tc>
        <w:tc>
          <w:tcPr>
            <w:tcW w:w="2549" w:type="pct"/>
            <w:vAlign w:val="center"/>
          </w:tcPr>
          <w:p w:rsidR="00563134" w:rsidRPr="00304F56" w:rsidRDefault="00563134" w:rsidP="002D76EA">
            <w:pPr>
              <w:jc w:val="both"/>
              <w:rPr>
                <w:rFonts w:ascii="Arial" w:hAnsi="Arial" w:cs="Arial"/>
                <w:b/>
                <w:sz w:val="20"/>
                <w:szCs w:val="20"/>
              </w:rPr>
            </w:pPr>
          </w:p>
        </w:tc>
      </w:tr>
      <w:tr w:rsidR="00563134" w:rsidRPr="00304F56" w:rsidTr="006A5BB3">
        <w:trPr>
          <w:trHeight w:val="288"/>
        </w:trPr>
        <w:tc>
          <w:tcPr>
            <w:tcW w:w="281" w:type="pct"/>
            <w:vAlign w:val="center"/>
          </w:tcPr>
          <w:p w:rsidR="00563134" w:rsidRPr="00304F56" w:rsidRDefault="00563134" w:rsidP="002D76EA">
            <w:pPr>
              <w:jc w:val="both"/>
              <w:rPr>
                <w:rFonts w:ascii="Arial" w:hAnsi="Arial" w:cs="Arial"/>
                <w:b/>
                <w:sz w:val="20"/>
                <w:szCs w:val="20"/>
              </w:rPr>
            </w:pPr>
          </w:p>
        </w:tc>
        <w:tc>
          <w:tcPr>
            <w:tcW w:w="2170" w:type="pct"/>
            <w:vAlign w:val="center"/>
          </w:tcPr>
          <w:p w:rsidR="00563134" w:rsidRPr="00304F56" w:rsidRDefault="00563134" w:rsidP="002D76EA">
            <w:pPr>
              <w:jc w:val="both"/>
              <w:rPr>
                <w:rFonts w:ascii="Arial" w:hAnsi="Arial" w:cs="Arial"/>
                <w:b/>
                <w:sz w:val="20"/>
                <w:szCs w:val="20"/>
              </w:rPr>
            </w:pPr>
          </w:p>
        </w:tc>
        <w:tc>
          <w:tcPr>
            <w:tcW w:w="2549" w:type="pct"/>
            <w:vAlign w:val="center"/>
          </w:tcPr>
          <w:p w:rsidR="00563134" w:rsidRPr="00304F56" w:rsidRDefault="00563134" w:rsidP="002D76EA">
            <w:pPr>
              <w:jc w:val="both"/>
              <w:rPr>
                <w:rFonts w:ascii="Arial" w:hAnsi="Arial" w:cs="Arial"/>
                <w:b/>
                <w:sz w:val="20"/>
                <w:szCs w:val="20"/>
              </w:rPr>
            </w:pPr>
          </w:p>
        </w:tc>
      </w:tr>
      <w:tr w:rsidR="00563134" w:rsidRPr="00304F56" w:rsidTr="006A5BB3">
        <w:trPr>
          <w:trHeight w:val="288"/>
        </w:trPr>
        <w:tc>
          <w:tcPr>
            <w:tcW w:w="281" w:type="pct"/>
            <w:vAlign w:val="center"/>
          </w:tcPr>
          <w:p w:rsidR="00563134" w:rsidRPr="00304F56" w:rsidRDefault="00563134" w:rsidP="002D76EA">
            <w:pPr>
              <w:jc w:val="both"/>
              <w:rPr>
                <w:rFonts w:ascii="Arial" w:hAnsi="Arial" w:cs="Arial"/>
                <w:b/>
                <w:sz w:val="20"/>
                <w:szCs w:val="20"/>
              </w:rPr>
            </w:pPr>
          </w:p>
        </w:tc>
        <w:tc>
          <w:tcPr>
            <w:tcW w:w="2170" w:type="pct"/>
            <w:vAlign w:val="center"/>
          </w:tcPr>
          <w:p w:rsidR="00563134" w:rsidRPr="00304F56" w:rsidRDefault="00563134" w:rsidP="002D76EA">
            <w:pPr>
              <w:jc w:val="both"/>
              <w:rPr>
                <w:rFonts w:ascii="Arial" w:hAnsi="Arial" w:cs="Arial"/>
                <w:b/>
                <w:sz w:val="20"/>
                <w:szCs w:val="20"/>
              </w:rPr>
            </w:pPr>
          </w:p>
        </w:tc>
        <w:tc>
          <w:tcPr>
            <w:tcW w:w="2549" w:type="pct"/>
            <w:vAlign w:val="center"/>
          </w:tcPr>
          <w:p w:rsidR="00563134" w:rsidRPr="00304F56" w:rsidRDefault="00563134" w:rsidP="002D76EA">
            <w:pPr>
              <w:jc w:val="both"/>
              <w:rPr>
                <w:rFonts w:ascii="Arial" w:hAnsi="Arial" w:cs="Arial"/>
                <w:b/>
                <w:sz w:val="20"/>
                <w:szCs w:val="20"/>
              </w:rPr>
            </w:pPr>
          </w:p>
        </w:tc>
      </w:tr>
    </w:tbl>
    <w:p w:rsidR="0023598C" w:rsidRPr="00304F56" w:rsidRDefault="00DB06F1" w:rsidP="002D76EA">
      <w:pPr>
        <w:jc w:val="both"/>
        <w:rPr>
          <w:rFonts w:ascii="Arial" w:hAnsi="Arial" w:cs="Arial"/>
          <w:i/>
          <w:sz w:val="20"/>
          <w:szCs w:val="20"/>
        </w:rPr>
      </w:pPr>
      <w:r w:rsidRPr="00304F56">
        <w:rPr>
          <w:rFonts w:ascii="Arial" w:hAnsi="Arial" w:cs="Arial"/>
          <w:sz w:val="20"/>
          <w:szCs w:val="20"/>
        </w:rPr>
        <w:t>(</w:t>
      </w:r>
      <w:r w:rsidRPr="00304F56">
        <w:rPr>
          <w:rFonts w:ascii="Arial" w:hAnsi="Arial" w:cs="Arial"/>
          <w:i/>
          <w:sz w:val="20"/>
          <w:szCs w:val="20"/>
        </w:rPr>
        <w:t xml:space="preserve">Machinery, books, software, IT </w:t>
      </w:r>
      <w:proofErr w:type="spellStart"/>
      <w:r w:rsidRPr="00304F56">
        <w:rPr>
          <w:rFonts w:ascii="Arial" w:hAnsi="Arial" w:cs="Arial"/>
          <w:i/>
          <w:sz w:val="20"/>
          <w:szCs w:val="20"/>
        </w:rPr>
        <w:t>equipments</w:t>
      </w:r>
      <w:proofErr w:type="spellEnd"/>
      <w:r w:rsidRPr="00304F56">
        <w:rPr>
          <w:rFonts w:ascii="Arial" w:hAnsi="Arial" w:cs="Arial"/>
          <w:i/>
          <w:sz w:val="20"/>
          <w:szCs w:val="20"/>
        </w:rPr>
        <w:t xml:space="preserve"> e.g. laptop, desktop, printer, scanner, digital camera, and others)</w:t>
      </w:r>
    </w:p>
    <w:p w:rsidR="0023598C" w:rsidRPr="00304F56" w:rsidRDefault="0023598C" w:rsidP="002D76EA">
      <w:pPr>
        <w:jc w:val="both"/>
        <w:rPr>
          <w:rFonts w:ascii="Arial" w:hAnsi="Arial" w:cs="Arial"/>
          <w:b/>
        </w:rPr>
      </w:pPr>
    </w:p>
    <w:p w:rsidR="00020571" w:rsidRPr="00304F56" w:rsidRDefault="00020571" w:rsidP="002D76EA">
      <w:pPr>
        <w:jc w:val="both"/>
        <w:rPr>
          <w:rFonts w:ascii="Arial" w:hAnsi="Arial" w:cs="Arial"/>
          <w:b/>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020571" w:rsidRPr="00304F56" w:rsidTr="00992EAE">
        <w:trPr>
          <w:trHeight w:val="432"/>
        </w:trPr>
        <w:tc>
          <w:tcPr>
            <w:tcW w:w="9648" w:type="dxa"/>
            <w:tcBorders>
              <w:top w:val="single" w:sz="12" w:space="0" w:color="000000"/>
              <w:left w:val="single" w:sz="12" w:space="0" w:color="000000"/>
              <w:bottom w:val="single" w:sz="12" w:space="0" w:color="000000"/>
              <w:right w:val="single" w:sz="12" w:space="0" w:color="000000"/>
            </w:tcBorders>
            <w:vAlign w:val="center"/>
          </w:tcPr>
          <w:p w:rsidR="00020571" w:rsidRPr="00304F56" w:rsidRDefault="00020571" w:rsidP="002D76EA">
            <w:pPr>
              <w:numPr>
                <w:ilvl w:val="0"/>
                <w:numId w:val="25"/>
              </w:numPr>
              <w:ind w:left="720"/>
              <w:jc w:val="both"/>
              <w:rPr>
                <w:rFonts w:ascii="Arial" w:hAnsi="Arial" w:cs="Arial"/>
                <w:b/>
                <w:color w:val="030799"/>
                <w:sz w:val="28"/>
                <w:szCs w:val="28"/>
              </w:rPr>
            </w:pPr>
            <w:r w:rsidRPr="00304F56">
              <w:rPr>
                <w:rFonts w:ascii="Arial" w:hAnsi="Arial" w:cs="Arial"/>
                <w:b/>
                <w:color w:val="030799"/>
                <w:sz w:val="28"/>
                <w:szCs w:val="28"/>
              </w:rPr>
              <w:t>PROJECT ACHIEVEMENT</w:t>
            </w:r>
          </w:p>
        </w:tc>
      </w:tr>
    </w:tbl>
    <w:p w:rsidR="007A62FA" w:rsidRPr="00304F56" w:rsidRDefault="007A62FA" w:rsidP="002D76EA">
      <w:pPr>
        <w:jc w:val="both"/>
        <w:rPr>
          <w:rFonts w:ascii="Arial" w:hAnsi="Arial" w:cs="Arial"/>
          <w:b/>
        </w:rPr>
      </w:pPr>
    </w:p>
    <w:p w:rsidR="00040DDC" w:rsidRPr="00CE34DF" w:rsidRDefault="00040DDC" w:rsidP="002D76EA">
      <w:pPr>
        <w:numPr>
          <w:ilvl w:val="0"/>
          <w:numId w:val="14"/>
        </w:numPr>
        <w:ind w:left="720"/>
        <w:jc w:val="both"/>
        <w:rPr>
          <w:rFonts w:ascii="Arial" w:hAnsi="Arial" w:cs="Arial"/>
          <w:b/>
          <w:i/>
        </w:rPr>
      </w:pPr>
      <w:r w:rsidRPr="00CE34DF">
        <w:rPr>
          <w:rFonts w:ascii="Arial" w:hAnsi="Arial" w:cs="Arial"/>
          <w:b/>
        </w:rPr>
        <w:t>Publications</w:t>
      </w:r>
      <w:r w:rsidR="00DB06F1" w:rsidRPr="00CE34DF">
        <w:rPr>
          <w:rFonts w:ascii="Arial" w:hAnsi="Arial" w:cs="Arial"/>
          <w:b/>
        </w:rPr>
        <w:t xml:space="preserve"> </w:t>
      </w:r>
    </w:p>
    <w:p w:rsidR="00DB06F1" w:rsidRPr="00304F56" w:rsidRDefault="00040DDC" w:rsidP="002D76EA">
      <w:pPr>
        <w:tabs>
          <w:tab w:val="left" w:pos="1080"/>
        </w:tabs>
        <w:ind w:left="720" w:hanging="360"/>
        <w:jc w:val="both"/>
        <w:rPr>
          <w:rFonts w:ascii="Arial" w:hAnsi="Arial" w:cs="Arial"/>
          <w:b/>
        </w:rPr>
      </w:pPr>
      <w:r w:rsidRPr="00304F56">
        <w:rPr>
          <w:rFonts w:ascii="Arial" w:hAnsi="Arial" w:cs="Arial"/>
          <w:b/>
        </w:rPr>
        <w:tab/>
      </w:r>
    </w:p>
    <w:p w:rsidR="0002063D" w:rsidRDefault="00DB06F1" w:rsidP="002D76EA">
      <w:pPr>
        <w:tabs>
          <w:tab w:val="left" w:pos="1080"/>
        </w:tabs>
        <w:ind w:left="720" w:hanging="360"/>
        <w:jc w:val="both"/>
      </w:pPr>
      <w:r w:rsidRPr="00304F56">
        <w:rPr>
          <w:rFonts w:ascii="Arial" w:hAnsi="Arial" w:cs="Arial"/>
          <w:b/>
        </w:rPr>
        <w:tab/>
      </w:r>
    </w:p>
    <w:p w:rsidR="0023598C" w:rsidRPr="008D5275" w:rsidRDefault="0002063D" w:rsidP="002D76EA">
      <w:pPr>
        <w:pStyle w:val="Default"/>
        <w:numPr>
          <w:ilvl w:val="0"/>
          <w:numId w:val="31"/>
        </w:numPr>
        <w:jc w:val="both"/>
        <w:rPr>
          <w:b/>
          <w:bCs/>
          <w:sz w:val="22"/>
          <w:szCs w:val="22"/>
        </w:rPr>
      </w:pPr>
      <w:r w:rsidRPr="008D5275">
        <w:rPr>
          <w:b/>
          <w:bCs/>
          <w:sz w:val="22"/>
          <w:szCs w:val="22"/>
        </w:rPr>
        <w:t>Perception of Contractual Risk Allocation in the Oil and Gas Contracts in Malaysia</w:t>
      </w:r>
      <w:r w:rsidR="008D5275" w:rsidRPr="008D5275">
        <w:rPr>
          <w:b/>
          <w:bCs/>
          <w:sz w:val="22"/>
          <w:szCs w:val="22"/>
        </w:rPr>
        <w:t xml:space="preserve">,  </w:t>
      </w:r>
      <w:r w:rsidR="008D5275" w:rsidRPr="008D5275">
        <w:rPr>
          <w:b/>
          <w:bCs/>
          <w:i/>
          <w:sz w:val="22"/>
          <w:szCs w:val="22"/>
        </w:rPr>
        <w:t>International Journal of Trade &amp; Global - IJTGM (Scopus</w:t>
      </w:r>
      <w:r w:rsidR="008D5275" w:rsidRPr="008D5275">
        <w:rPr>
          <w:b/>
          <w:bCs/>
          <w:i/>
          <w:sz w:val="22"/>
          <w:szCs w:val="22"/>
        </w:rPr>
        <w:t xml:space="preserve"> Indexed</w:t>
      </w:r>
      <w:r w:rsidR="008D5275" w:rsidRPr="008D5275">
        <w:rPr>
          <w:b/>
          <w:bCs/>
          <w:i/>
          <w:sz w:val="22"/>
          <w:szCs w:val="22"/>
        </w:rPr>
        <w:t>)</w:t>
      </w:r>
      <w:r w:rsidR="008D5275" w:rsidRPr="008D5275">
        <w:rPr>
          <w:b/>
          <w:bCs/>
          <w:i/>
          <w:sz w:val="22"/>
          <w:szCs w:val="22"/>
        </w:rPr>
        <w:t>,</w:t>
      </w:r>
      <w:r w:rsidR="008D5275" w:rsidRPr="008D5275">
        <w:rPr>
          <w:b/>
          <w:bCs/>
          <w:sz w:val="22"/>
          <w:szCs w:val="22"/>
        </w:rPr>
        <w:t xml:space="preserve"> 2017</w:t>
      </w:r>
    </w:p>
    <w:p w:rsidR="008D5275" w:rsidRPr="008D5275" w:rsidRDefault="008D5275" w:rsidP="002D76EA">
      <w:pPr>
        <w:pStyle w:val="Default"/>
        <w:jc w:val="both"/>
        <w:rPr>
          <w:b/>
          <w:sz w:val="22"/>
          <w:szCs w:val="22"/>
        </w:rPr>
      </w:pPr>
    </w:p>
    <w:p w:rsidR="008D5275" w:rsidRPr="008D5275" w:rsidRDefault="008D5275" w:rsidP="002D76EA">
      <w:pPr>
        <w:pStyle w:val="Default"/>
        <w:numPr>
          <w:ilvl w:val="0"/>
          <w:numId w:val="31"/>
        </w:numPr>
        <w:jc w:val="both"/>
        <w:rPr>
          <w:b/>
          <w:bCs/>
          <w:sz w:val="22"/>
          <w:szCs w:val="22"/>
        </w:rPr>
      </w:pPr>
      <w:r w:rsidRPr="008D5275">
        <w:rPr>
          <w:b/>
          <w:sz w:val="22"/>
          <w:szCs w:val="22"/>
        </w:rPr>
        <w:t xml:space="preserve"> </w:t>
      </w:r>
      <w:r w:rsidRPr="008D5275">
        <w:rPr>
          <w:b/>
          <w:bCs/>
          <w:sz w:val="22"/>
          <w:szCs w:val="22"/>
        </w:rPr>
        <w:t>Alternative Dispute Resolution (ADR) in Oil and Gas Industry in Malaysia – A New Legal Framework</w:t>
      </w:r>
      <w:r w:rsidRPr="008D5275">
        <w:rPr>
          <w:b/>
          <w:bCs/>
          <w:sz w:val="22"/>
          <w:szCs w:val="22"/>
        </w:rPr>
        <w:t xml:space="preserve">, </w:t>
      </w:r>
      <w:r w:rsidRPr="008D5275">
        <w:rPr>
          <w:b/>
          <w:sz w:val="22"/>
          <w:szCs w:val="22"/>
        </w:rPr>
        <w:t xml:space="preserve"> </w:t>
      </w:r>
      <w:r w:rsidRPr="008D5275">
        <w:rPr>
          <w:b/>
          <w:i/>
          <w:iCs/>
          <w:sz w:val="22"/>
          <w:szCs w:val="22"/>
        </w:rPr>
        <w:t>Advanced Science Letter (Scopus</w:t>
      </w:r>
      <w:r w:rsidRPr="008D5275">
        <w:rPr>
          <w:b/>
          <w:i/>
          <w:iCs/>
          <w:sz w:val="22"/>
          <w:szCs w:val="22"/>
        </w:rPr>
        <w:t xml:space="preserve"> Indexed</w:t>
      </w:r>
      <w:r w:rsidRPr="008D5275">
        <w:rPr>
          <w:b/>
          <w:i/>
          <w:iCs/>
          <w:sz w:val="22"/>
          <w:szCs w:val="22"/>
        </w:rPr>
        <w:t>)</w:t>
      </w:r>
      <w:r w:rsidRPr="008D5275">
        <w:rPr>
          <w:b/>
          <w:i/>
          <w:iCs/>
          <w:sz w:val="22"/>
          <w:szCs w:val="22"/>
        </w:rPr>
        <w:t>,</w:t>
      </w:r>
      <w:r w:rsidRPr="008D5275">
        <w:rPr>
          <w:b/>
          <w:iCs/>
          <w:sz w:val="22"/>
          <w:szCs w:val="22"/>
        </w:rPr>
        <w:t xml:space="preserve"> 2017</w:t>
      </w:r>
    </w:p>
    <w:p w:rsidR="008D5275" w:rsidRPr="008D5275" w:rsidRDefault="008D5275" w:rsidP="002D76EA">
      <w:pPr>
        <w:pStyle w:val="ListParagraph"/>
        <w:jc w:val="both"/>
        <w:rPr>
          <w:b/>
          <w:bCs/>
          <w:sz w:val="22"/>
          <w:szCs w:val="22"/>
        </w:rPr>
      </w:pPr>
    </w:p>
    <w:p w:rsidR="008D5275" w:rsidRPr="008D5275" w:rsidRDefault="008D5275" w:rsidP="002D76EA">
      <w:pPr>
        <w:pStyle w:val="Default"/>
        <w:numPr>
          <w:ilvl w:val="0"/>
          <w:numId w:val="31"/>
        </w:numPr>
        <w:jc w:val="both"/>
        <w:rPr>
          <w:b/>
          <w:sz w:val="22"/>
          <w:szCs w:val="22"/>
        </w:rPr>
      </w:pPr>
      <w:r w:rsidRPr="008D5275">
        <w:rPr>
          <w:b/>
          <w:iCs/>
          <w:sz w:val="22"/>
          <w:szCs w:val="22"/>
        </w:rPr>
        <w:t xml:space="preserve">A comparative analysis on the enforceability of knock-for- knock indemnities in Thailand and the United Kingdom, </w:t>
      </w:r>
      <w:r w:rsidRPr="008D5275">
        <w:rPr>
          <w:b/>
          <w:sz w:val="22"/>
          <w:szCs w:val="22"/>
        </w:rPr>
        <w:t>Journal of Malaysian and Comparative Law, 44 (1). pp. 33-42. ISSN 0126-6322</w:t>
      </w:r>
      <w:r w:rsidRPr="008D5275">
        <w:rPr>
          <w:b/>
          <w:sz w:val="22"/>
          <w:szCs w:val="22"/>
        </w:rPr>
        <w:t xml:space="preserve"> – (Era Indexed)</w:t>
      </w:r>
    </w:p>
    <w:p w:rsidR="0080327C" w:rsidRPr="00304F56" w:rsidRDefault="0080327C" w:rsidP="002D76EA">
      <w:pPr>
        <w:ind w:left="720" w:hanging="360"/>
        <w:jc w:val="both"/>
        <w:rPr>
          <w:rFonts w:ascii="Arial" w:hAnsi="Arial" w:cs="Arial"/>
          <w:b/>
        </w:rPr>
      </w:pPr>
    </w:p>
    <w:p w:rsidR="0023598C" w:rsidRPr="00304F56" w:rsidRDefault="0023598C" w:rsidP="002D76EA">
      <w:pPr>
        <w:ind w:left="720" w:hanging="360"/>
        <w:jc w:val="both"/>
        <w:rPr>
          <w:rFonts w:ascii="Arial" w:hAnsi="Arial" w:cs="Arial"/>
          <w:b/>
        </w:rPr>
      </w:pPr>
    </w:p>
    <w:p w:rsidR="00040DDC" w:rsidRPr="00304F56" w:rsidRDefault="00040DDC" w:rsidP="002D76EA">
      <w:pPr>
        <w:numPr>
          <w:ilvl w:val="0"/>
          <w:numId w:val="14"/>
        </w:numPr>
        <w:ind w:left="720"/>
        <w:jc w:val="both"/>
        <w:rPr>
          <w:rFonts w:ascii="Arial" w:hAnsi="Arial" w:cs="Arial"/>
          <w:b/>
        </w:rPr>
      </w:pPr>
      <w:r w:rsidRPr="00304F56">
        <w:rPr>
          <w:rFonts w:ascii="Arial" w:hAnsi="Arial" w:cs="Arial"/>
          <w:b/>
        </w:rPr>
        <w:t>Intellectual Property Rights</w:t>
      </w:r>
      <w:r w:rsidR="00992EAE" w:rsidRPr="00304F56">
        <w:rPr>
          <w:rFonts w:ascii="Arial" w:hAnsi="Arial" w:cs="Arial"/>
          <w:b/>
        </w:rPr>
        <w:t xml:space="preserve"> </w:t>
      </w:r>
      <w:r w:rsidRPr="00304F56">
        <w:rPr>
          <w:rFonts w:ascii="Arial" w:hAnsi="Arial" w:cs="Arial"/>
          <w:i/>
        </w:rPr>
        <w:t>(Patent, Industrial Design, Trademark, Copyright, etc.</w:t>
      </w:r>
      <w:r w:rsidRPr="00304F56">
        <w:rPr>
          <w:rFonts w:ascii="Arial" w:hAnsi="Arial" w:cs="Arial"/>
          <w:b/>
        </w:rPr>
        <w:t>)</w:t>
      </w:r>
    </w:p>
    <w:p w:rsidR="00040DDC" w:rsidRPr="00304F56" w:rsidRDefault="00040DDC" w:rsidP="002D76EA">
      <w:pPr>
        <w:pStyle w:val="ListParagraph"/>
        <w:ind w:hanging="360"/>
        <w:jc w:val="both"/>
        <w:rPr>
          <w:rFonts w:ascii="Arial" w:hAnsi="Arial" w:cs="Arial"/>
          <w:b/>
        </w:rPr>
      </w:pPr>
    </w:p>
    <w:p w:rsidR="00040DDC" w:rsidRPr="00304F56" w:rsidRDefault="00040DDC" w:rsidP="002D76EA">
      <w:pPr>
        <w:ind w:left="720" w:hanging="360"/>
        <w:jc w:val="both"/>
        <w:rPr>
          <w:rFonts w:ascii="Arial" w:hAnsi="Arial" w:cs="Arial"/>
          <w:b/>
        </w:rPr>
      </w:pPr>
    </w:p>
    <w:p w:rsidR="00992EAE" w:rsidRPr="00304F56" w:rsidRDefault="008D5275" w:rsidP="002D76EA">
      <w:pPr>
        <w:ind w:left="1080" w:hanging="360"/>
        <w:jc w:val="both"/>
        <w:rPr>
          <w:rFonts w:ascii="Arial" w:hAnsi="Arial" w:cs="Arial"/>
          <w:b/>
        </w:rPr>
      </w:pPr>
      <w:r>
        <w:rPr>
          <w:rFonts w:ascii="Arial" w:hAnsi="Arial" w:cs="Arial"/>
          <w:b/>
        </w:rPr>
        <w:t>-</w:t>
      </w:r>
    </w:p>
    <w:p w:rsidR="0023598C" w:rsidRPr="00304F56" w:rsidRDefault="0023598C" w:rsidP="002D76EA">
      <w:pPr>
        <w:ind w:left="720" w:hanging="360"/>
        <w:jc w:val="both"/>
        <w:rPr>
          <w:rFonts w:ascii="Arial" w:hAnsi="Arial" w:cs="Arial"/>
          <w:b/>
        </w:rPr>
      </w:pPr>
    </w:p>
    <w:p w:rsidR="00040DDC" w:rsidRPr="00304F56" w:rsidRDefault="00040DDC" w:rsidP="002D76EA">
      <w:pPr>
        <w:numPr>
          <w:ilvl w:val="0"/>
          <w:numId w:val="14"/>
        </w:numPr>
        <w:ind w:left="720"/>
        <w:jc w:val="both"/>
        <w:rPr>
          <w:rFonts w:ascii="Arial" w:hAnsi="Arial" w:cs="Arial"/>
          <w:b/>
        </w:rPr>
      </w:pPr>
      <w:r w:rsidRPr="00304F56">
        <w:rPr>
          <w:rFonts w:ascii="Arial" w:hAnsi="Arial" w:cs="Arial"/>
          <w:b/>
        </w:rPr>
        <w:t>Human Capital Development</w:t>
      </w:r>
      <w:r w:rsidR="00DB06F1" w:rsidRPr="00304F56">
        <w:rPr>
          <w:rFonts w:ascii="Arial" w:hAnsi="Arial" w:cs="Arial"/>
          <w:b/>
        </w:rPr>
        <w:t xml:space="preserve"> </w:t>
      </w:r>
      <w:r w:rsidRPr="00304F56">
        <w:rPr>
          <w:rFonts w:ascii="Arial" w:hAnsi="Arial" w:cs="Arial"/>
          <w:i/>
        </w:rPr>
        <w:t>(PhD, Masters, Research staff with specialty, etc.</w:t>
      </w:r>
      <w:r w:rsidRPr="00304F56">
        <w:rPr>
          <w:rFonts w:ascii="Arial" w:hAnsi="Arial" w:cs="Arial"/>
          <w:b/>
        </w:rPr>
        <w:t>)</w:t>
      </w:r>
    </w:p>
    <w:p w:rsidR="00040DDC" w:rsidRPr="00304F56" w:rsidRDefault="00040DDC" w:rsidP="002D76EA">
      <w:pPr>
        <w:ind w:left="720" w:hanging="360"/>
        <w:jc w:val="both"/>
        <w:rPr>
          <w:rFonts w:ascii="Arial" w:hAnsi="Arial" w:cs="Arial"/>
          <w:b/>
        </w:rPr>
      </w:pPr>
    </w:p>
    <w:p w:rsidR="00992EAE" w:rsidRPr="00304F56" w:rsidRDefault="008D5275" w:rsidP="002D76EA">
      <w:pPr>
        <w:ind w:left="1080" w:hanging="360"/>
        <w:jc w:val="both"/>
        <w:rPr>
          <w:rFonts w:ascii="Arial" w:hAnsi="Arial" w:cs="Arial"/>
          <w:b/>
        </w:rPr>
      </w:pPr>
      <w:r>
        <w:rPr>
          <w:rFonts w:ascii="Arial" w:hAnsi="Arial" w:cs="Arial"/>
          <w:b/>
        </w:rPr>
        <w:t>-</w:t>
      </w:r>
    </w:p>
    <w:p w:rsidR="0023598C" w:rsidRPr="00304F56" w:rsidRDefault="0023598C" w:rsidP="002D76EA">
      <w:pPr>
        <w:ind w:left="720" w:hanging="360"/>
        <w:jc w:val="both"/>
        <w:rPr>
          <w:rFonts w:ascii="Arial" w:hAnsi="Arial" w:cs="Arial"/>
          <w:b/>
        </w:rPr>
      </w:pPr>
    </w:p>
    <w:p w:rsidR="0023598C" w:rsidRPr="00304F56" w:rsidRDefault="0023598C" w:rsidP="002D76EA">
      <w:pPr>
        <w:ind w:left="720" w:hanging="360"/>
        <w:jc w:val="both"/>
        <w:rPr>
          <w:rFonts w:ascii="Arial" w:hAnsi="Arial" w:cs="Arial"/>
          <w:b/>
        </w:rPr>
      </w:pPr>
    </w:p>
    <w:p w:rsidR="00040DDC" w:rsidRPr="00304F56" w:rsidRDefault="00040DDC" w:rsidP="002D76EA">
      <w:pPr>
        <w:numPr>
          <w:ilvl w:val="0"/>
          <w:numId w:val="14"/>
        </w:numPr>
        <w:ind w:left="720"/>
        <w:jc w:val="both"/>
        <w:rPr>
          <w:rFonts w:ascii="Arial" w:hAnsi="Arial" w:cs="Arial"/>
          <w:b/>
        </w:rPr>
      </w:pPr>
      <w:r w:rsidRPr="00304F56">
        <w:rPr>
          <w:rFonts w:ascii="Arial" w:hAnsi="Arial" w:cs="Arial"/>
          <w:b/>
        </w:rPr>
        <w:t>Commercialization</w:t>
      </w:r>
      <w:r w:rsidRPr="00304F56">
        <w:rPr>
          <w:rFonts w:ascii="Arial" w:hAnsi="Arial" w:cs="Arial"/>
          <w:b/>
        </w:rPr>
        <w:tab/>
      </w:r>
      <w:r w:rsidRPr="00304F56">
        <w:rPr>
          <w:rFonts w:ascii="Arial" w:hAnsi="Arial" w:cs="Arial"/>
          <w:i/>
        </w:rPr>
        <w:t>(Licensing royalty, spin-off, direct sale, etc.</w:t>
      </w:r>
      <w:r w:rsidRPr="00304F56">
        <w:rPr>
          <w:rFonts w:ascii="Arial" w:hAnsi="Arial" w:cs="Arial"/>
          <w:b/>
        </w:rPr>
        <w:t>)</w:t>
      </w:r>
    </w:p>
    <w:p w:rsidR="00040DDC" w:rsidRPr="00304F56" w:rsidRDefault="00040DDC" w:rsidP="002D76EA">
      <w:pPr>
        <w:ind w:left="1080" w:hanging="720"/>
        <w:jc w:val="both"/>
        <w:rPr>
          <w:rFonts w:ascii="Arial" w:hAnsi="Arial" w:cs="Arial"/>
          <w:b/>
        </w:rPr>
      </w:pPr>
    </w:p>
    <w:p w:rsidR="004D5A98" w:rsidRPr="00304F56" w:rsidRDefault="008D5275" w:rsidP="002D76EA">
      <w:pPr>
        <w:ind w:left="1440" w:hanging="720"/>
        <w:jc w:val="both"/>
        <w:rPr>
          <w:rFonts w:ascii="Arial" w:hAnsi="Arial" w:cs="Arial"/>
          <w:b/>
        </w:rPr>
      </w:pPr>
      <w:r>
        <w:rPr>
          <w:rFonts w:ascii="Arial" w:hAnsi="Arial" w:cs="Arial"/>
          <w:b/>
        </w:rPr>
        <w:t>-</w:t>
      </w:r>
    </w:p>
    <w:p w:rsidR="004D5A98" w:rsidRPr="00304F56" w:rsidRDefault="004D5A98" w:rsidP="002D76EA">
      <w:pPr>
        <w:ind w:left="1080"/>
        <w:jc w:val="both"/>
        <w:rPr>
          <w:rFonts w:ascii="Arial" w:hAnsi="Arial" w:cs="Arial"/>
          <w:b/>
        </w:rPr>
      </w:pPr>
    </w:p>
    <w:p w:rsidR="00A63FCA" w:rsidRDefault="00A63FCA" w:rsidP="002D76EA">
      <w:pPr>
        <w:ind w:left="1080"/>
        <w:jc w:val="both"/>
        <w:rPr>
          <w:rFonts w:ascii="Arial" w:hAnsi="Arial" w:cs="Arial"/>
          <w:b/>
        </w:rPr>
      </w:pPr>
    </w:p>
    <w:p w:rsidR="00CE34DF" w:rsidRDefault="00CE34DF" w:rsidP="002D76EA">
      <w:pPr>
        <w:ind w:left="360"/>
        <w:jc w:val="both"/>
        <w:rPr>
          <w:rFonts w:ascii="Arial" w:hAnsi="Arial" w:cs="Arial"/>
        </w:rPr>
      </w:pPr>
      <w:r w:rsidRPr="00CE34DF">
        <w:rPr>
          <w:rFonts w:ascii="Arial" w:hAnsi="Arial" w:cs="Arial"/>
        </w:rPr>
        <w:t>Signature of Principal Researcher</w:t>
      </w:r>
      <w:proofErr w:type="gramStart"/>
      <w:r>
        <w:rPr>
          <w:rFonts w:ascii="Arial" w:hAnsi="Arial" w:cs="Arial"/>
        </w:rPr>
        <w:t>:  …………………………………………</w:t>
      </w:r>
      <w:proofErr w:type="gramEnd"/>
    </w:p>
    <w:p w:rsidR="00CE34DF" w:rsidRDefault="00CE34DF" w:rsidP="002D76EA">
      <w:pPr>
        <w:ind w:left="360"/>
        <w:jc w:val="both"/>
        <w:rPr>
          <w:rFonts w:ascii="Arial" w:hAnsi="Arial" w:cs="Arial"/>
        </w:rPr>
      </w:pPr>
    </w:p>
    <w:p w:rsidR="00CE34DF" w:rsidRDefault="00CE34DF" w:rsidP="002D76EA">
      <w:pPr>
        <w:ind w:left="360"/>
        <w:jc w:val="both"/>
        <w:rPr>
          <w:rFonts w:ascii="Arial" w:hAnsi="Arial" w:cs="Arial"/>
        </w:rPr>
      </w:pPr>
      <w:r>
        <w:rPr>
          <w:rFonts w:ascii="Arial" w:hAnsi="Arial" w:cs="Arial"/>
        </w:rPr>
        <w:lastRenderedPageBreak/>
        <w:t xml:space="preserve">Name </w:t>
      </w:r>
      <w:r>
        <w:rPr>
          <w:rFonts w:ascii="Arial" w:hAnsi="Arial" w:cs="Arial"/>
        </w:rPr>
        <w:tab/>
        <w:t>:</w:t>
      </w:r>
      <w:r>
        <w:rPr>
          <w:rFonts w:ascii="Arial" w:hAnsi="Arial" w:cs="Arial"/>
        </w:rPr>
        <w:tab/>
      </w:r>
      <w:r w:rsidR="008D5275">
        <w:rPr>
          <w:rFonts w:ascii="Arial" w:hAnsi="Arial" w:cs="Arial"/>
        </w:rPr>
        <w:t>WAN MOHD ZULHAFIZ WAN ZAHARI</w:t>
      </w:r>
    </w:p>
    <w:p w:rsidR="00CE34DF" w:rsidRDefault="00CE34DF" w:rsidP="002D76EA">
      <w:pPr>
        <w:ind w:left="360"/>
        <w:jc w:val="both"/>
        <w:rPr>
          <w:rFonts w:ascii="Arial" w:hAnsi="Arial" w:cs="Arial"/>
        </w:rPr>
      </w:pPr>
    </w:p>
    <w:p w:rsidR="00CE34DF" w:rsidRPr="00CE34DF" w:rsidRDefault="00CE34DF" w:rsidP="002D76EA">
      <w:pPr>
        <w:ind w:left="360"/>
        <w:jc w:val="both"/>
        <w:rPr>
          <w:rFonts w:ascii="Arial" w:hAnsi="Arial" w:cs="Arial"/>
        </w:rPr>
      </w:pPr>
      <w:r>
        <w:rPr>
          <w:rFonts w:ascii="Arial" w:hAnsi="Arial" w:cs="Arial"/>
        </w:rPr>
        <w:t>Date</w:t>
      </w:r>
      <w:r>
        <w:rPr>
          <w:rFonts w:ascii="Arial" w:hAnsi="Arial" w:cs="Arial"/>
        </w:rPr>
        <w:tab/>
        <w:t>:</w:t>
      </w:r>
      <w:r>
        <w:rPr>
          <w:rFonts w:ascii="Arial" w:hAnsi="Arial" w:cs="Arial"/>
        </w:rPr>
        <w:tab/>
      </w:r>
      <w:r w:rsidR="008D5275">
        <w:rPr>
          <w:rFonts w:ascii="Arial" w:hAnsi="Arial" w:cs="Arial"/>
        </w:rPr>
        <w:t>17/11/2017</w:t>
      </w:r>
    </w:p>
    <w:p w:rsidR="00DB06F1" w:rsidRPr="00304F56" w:rsidRDefault="002D76EA" w:rsidP="002D76EA">
      <w:pPr>
        <w:tabs>
          <w:tab w:val="left" w:pos="1395"/>
        </w:tabs>
        <w:ind w:left="1080"/>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-54610</wp:posOffset>
                </wp:positionH>
                <wp:positionV relativeFrom="paragraph">
                  <wp:posOffset>97155</wp:posOffset>
                </wp:positionV>
                <wp:extent cx="6181725" cy="365125"/>
                <wp:effectExtent l="9525" t="13335" r="9525" b="12065"/>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65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4.3pt;margin-top:7.65pt;width:486.75pt;height:2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" filled="f"/>
            </w:pict>
          </mc:Fallback>
        </mc:AlternateContent>
      </w:r>
    </w:p>
    <w:p w:rsidR="004D5A98" w:rsidRPr="00304F56" w:rsidRDefault="003A450C" w:rsidP="002D76EA">
      <w:pPr>
        <w:numPr>
          <w:ilvl w:val="0"/>
          <w:numId w:val="25"/>
        </w:numPr>
        <w:ind w:left="702" w:hanging="702"/>
        <w:jc w:val="both"/>
        <w:rPr>
          <w:rFonts w:ascii="Arial" w:hAnsi="Arial" w:cs="Arial"/>
          <w:b/>
          <w:color w:val="030799"/>
          <w:sz w:val="28"/>
          <w:szCs w:val="28"/>
        </w:rPr>
      </w:pPr>
      <w:r w:rsidRPr="00304F56">
        <w:rPr>
          <w:rFonts w:ascii="Arial" w:hAnsi="Arial" w:cs="Arial"/>
          <w:b/>
          <w:color w:val="030799"/>
          <w:sz w:val="28"/>
          <w:szCs w:val="28"/>
        </w:rPr>
        <w:t>RESEARCH MANAGEMENT CENTRE</w:t>
      </w:r>
    </w:p>
    <w:p w:rsidR="00020571" w:rsidRPr="00304F56" w:rsidRDefault="00020571" w:rsidP="002D76EA">
      <w:pPr>
        <w:tabs>
          <w:tab w:val="left" w:pos="1395"/>
        </w:tabs>
        <w:jc w:val="both"/>
        <w:rPr>
          <w:rFonts w:ascii="Arial" w:hAnsi="Arial" w:cs="Arial"/>
        </w:rPr>
      </w:pPr>
    </w:p>
    <w:p w:rsidR="00020571" w:rsidRPr="00CE34DF" w:rsidRDefault="00CE34DF" w:rsidP="002D76EA">
      <w:pPr>
        <w:ind w:left="720"/>
        <w:jc w:val="both"/>
        <w:rPr>
          <w:rFonts w:ascii="Arial" w:hAnsi="Arial" w:cs="Arial"/>
          <w:b/>
        </w:rPr>
      </w:pPr>
      <w:r w:rsidRPr="00CE34DF">
        <w:rPr>
          <w:rFonts w:ascii="Arial" w:hAnsi="Arial" w:cs="Arial"/>
          <w:b/>
        </w:rPr>
        <w:t>COMMENT:</w:t>
      </w:r>
    </w:p>
    <w:p w:rsidR="00CE34DF" w:rsidRDefault="00CE34DF" w:rsidP="002D76EA">
      <w:pPr>
        <w:ind w:left="720"/>
        <w:jc w:val="both"/>
        <w:rPr>
          <w:rFonts w:ascii="Arial" w:hAnsi="Arial" w:cs="Arial"/>
        </w:rPr>
      </w:pPr>
    </w:p>
    <w:p w:rsidR="00CE34DF" w:rsidRDefault="00CE34DF" w:rsidP="002D76EA">
      <w:pPr>
        <w:ind w:left="720"/>
        <w:jc w:val="both"/>
        <w:rPr>
          <w:rFonts w:ascii="Arial" w:hAnsi="Arial" w:cs="Arial"/>
        </w:rPr>
      </w:pPr>
    </w:p>
    <w:p w:rsidR="00CE34DF" w:rsidRDefault="002D76EA" w:rsidP="002D76EA">
      <w:pPr>
        <w:ind w:left="720"/>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427990</wp:posOffset>
                </wp:positionH>
                <wp:positionV relativeFrom="paragraph">
                  <wp:posOffset>25400</wp:posOffset>
                </wp:positionV>
                <wp:extent cx="5332730" cy="0"/>
                <wp:effectExtent l="6350" t="12700" r="13970" b="6350"/>
                <wp:wrapNone/>
                <wp:docPr id="1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7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7" o:spid="_x0000_s1026" type="#_x0000_t32" style="position:absolute;margin-left:33.7pt;margin-top:2pt;width:419.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" strokeweight=".25pt"/>
            </w:pict>
          </mc:Fallback>
        </mc:AlternateContent>
      </w:r>
    </w:p>
    <w:p w:rsidR="00CE34DF" w:rsidRDefault="00CE34DF" w:rsidP="002D76EA">
      <w:pPr>
        <w:ind w:left="720"/>
        <w:jc w:val="both"/>
        <w:rPr>
          <w:rFonts w:ascii="Arial" w:hAnsi="Arial" w:cs="Arial"/>
        </w:rPr>
      </w:pPr>
    </w:p>
    <w:p w:rsidR="00CE34DF" w:rsidRDefault="002D76EA" w:rsidP="002D76EA">
      <w:pPr>
        <w:ind w:left="720"/>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427990</wp:posOffset>
                </wp:positionH>
                <wp:positionV relativeFrom="paragraph">
                  <wp:posOffset>69850</wp:posOffset>
                </wp:positionV>
                <wp:extent cx="5332730" cy="0"/>
                <wp:effectExtent l="6350" t="7620" r="13970" b="11430"/>
                <wp:wrapNone/>
                <wp:docPr id="1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7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33.7pt;margin-top:5.5pt;width:419.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" strokeweight=".25pt"/>
            </w:pict>
          </mc:Fallback>
        </mc:AlternateContent>
      </w:r>
    </w:p>
    <w:p w:rsidR="00CE34DF" w:rsidRDefault="00CE34DF" w:rsidP="002D76EA">
      <w:pPr>
        <w:ind w:left="720"/>
        <w:jc w:val="both"/>
        <w:rPr>
          <w:rFonts w:ascii="Arial" w:hAnsi="Arial" w:cs="Arial"/>
        </w:rPr>
      </w:pPr>
    </w:p>
    <w:p w:rsidR="00CE34DF" w:rsidRDefault="002D76EA" w:rsidP="002D76EA">
      <w:pPr>
        <w:ind w:left="720"/>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427990</wp:posOffset>
                </wp:positionH>
                <wp:positionV relativeFrom="paragraph">
                  <wp:posOffset>77470</wp:posOffset>
                </wp:positionV>
                <wp:extent cx="5332730" cy="0"/>
                <wp:effectExtent l="6350" t="13335" r="13970" b="5715"/>
                <wp:wrapNone/>
                <wp:docPr id="13"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7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33.7pt;margin-top:6.1pt;width:419.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" strokeweight=".25pt"/>
            </w:pict>
          </mc:Fallback>
        </mc:AlternateContent>
      </w:r>
    </w:p>
    <w:p w:rsidR="00CE34DF" w:rsidRDefault="00CE34DF" w:rsidP="002D76EA">
      <w:pPr>
        <w:ind w:left="720"/>
        <w:jc w:val="both"/>
        <w:rPr>
          <w:rFonts w:ascii="Arial" w:hAnsi="Arial" w:cs="Arial"/>
        </w:rPr>
      </w:pPr>
    </w:p>
    <w:p w:rsidR="00CE34DF" w:rsidRDefault="002D76EA" w:rsidP="002D76EA">
      <w:pPr>
        <w:ind w:left="720"/>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427990</wp:posOffset>
                </wp:positionH>
                <wp:positionV relativeFrom="paragraph">
                  <wp:posOffset>63500</wp:posOffset>
                </wp:positionV>
                <wp:extent cx="5332730" cy="0"/>
                <wp:effectExtent l="6350" t="6985" r="13970" b="12065"/>
                <wp:wrapNone/>
                <wp:docPr id="1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7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33.7pt;margin-top:5pt;width:419.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YaHwIAAD0EAAAOAAAAZHJzL2Uyb0RvYy54bWysU82O2yAQvlfqOyDuie3Em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" strokeweight=".25pt"/>
            </w:pict>
          </mc:Fallback>
        </mc:AlternateContent>
      </w:r>
    </w:p>
    <w:p w:rsidR="00CE34DF" w:rsidRDefault="00CE34DF" w:rsidP="002D76EA">
      <w:pPr>
        <w:ind w:left="720"/>
        <w:jc w:val="both"/>
        <w:rPr>
          <w:rFonts w:ascii="Arial" w:hAnsi="Arial" w:cs="Arial"/>
        </w:rPr>
      </w:pPr>
    </w:p>
    <w:p w:rsidR="00CE34DF" w:rsidRDefault="00CE34DF" w:rsidP="002D76EA">
      <w:pPr>
        <w:ind w:left="720"/>
        <w:jc w:val="both"/>
        <w:rPr>
          <w:rFonts w:ascii="Arial" w:hAnsi="Arial" w:cs="Arial"/>
        </w:rPr>
      </w:pPr>
    </w:p>
    <w:p w:rsidR="0017738C" w:rsidRPr="00CE34DF" w:rsidRDefault="001E7BDC" w:rsidP="002D76EA">
      <w:pPr>
        <w:ind w:left="720"/>
        <w:jc w:val="both"/>
        <w:rPr>
          <w:rFonts w:ascii="Arial" w:hAnsi="Arial" w:cs="Arial"/>
          <w:b/>
          <w:szCs w:val="28"/>
        </w:rPr>
      </w:pPr>
      <w:r w:rsidRPr="00CE34DF">
        <w:rPr>
          <w:rFonts w:ascii="Arial" w:hAnsi="Arial" w:cs="Arial"/>
          <w:b/>
          <w:szCs w:val="28"/>
        </w:rPr>
        <w:t xml:space="preserve">VERIFICATION ON </w:t>
      </w:r>
      <w:r w:rsidR="00CE34DF">
        <w:rPr>
          <w:rFonts w:ascii="Arial" w:hAnsi="Arial" w:cs="Arial"/>
          <w:b/>
          <w:szCs w:val="28"/>
        </w:rPr>
        <w:t>RESEARCH OUTPUT:</w:t>
      </w:r>
    </w:p>
    <w:p w:rsidR="0017738C" w:rsidRPr="00304F56" w:rsidRDefault="0017738C" w:rsidP="002D76EA">
      <w:pPr>
        <w:widowControl w:val="0"/>
        <w:autoSpaceDE w:val="0"/>
        <w:autoSpaceDN w:val="0"/>
        <w:adjustRightInd w:val="0"/>
        <w:ind w:left="720"/>
        <w:jc w:val="both"/>
        <w:rPr>
          <w:rFonts w:ascii="Arial" w:hAnsi="Arial" w:cs="Arial"/>
          <w:bCs/>
          <w:iCs/>
          <w:color w:val="000000"/>
          <w:sz w:val="22"/>
          <w:szCs w:val="22"/>
        </w:rPr>
      </w:pPr>
    </w:p>
    <w:p w:rsidR="0017738C" w:rsidRPr="0013378F" w:rsidRDefault="002D76EA" w:rsidP="002D76EA">
      <w:pPr>
        <w:widowControl w:val="0"/>
        <w:numPr>
          <w:ilvl w:val="0"/>
          <w:numId w:val="28"/>
        </w:numPr>
        <w:tabs>
          <w:tab w:val="left" w:pos="840"/>
        </w:tabs>
        <w:autoSpaceDE w:val="0"/>
        <w:autoSpaceDN w:val="0"/>
        <w:adjustRightInd w:val="0"/>
        <w:spacing w:before="276"/>
        <w:jc w:val="both"/>
        <w:rPr>
          <w:rFonts w:ascii="Arial" w:hAnsi="Arial" w:cs="Arial"/>
          <w:bCs/>
          <w:iCs/>
          <w:color w:val="000000"/>
          <w:szCs w:val="22"/>
        </w:rPr>
      </w:pPr>
      <w:r>
        <w:rPr>
          <w:rFonts w:ascii="Arial" w:hAnsi="Arial" w:cs="Arial"/>
          <w:bCs/>
          <w:iCs/>
          <w:noProof/>
          <w:color w:val="000000"/>
          <w:szCs w:val="22"/>
          <w:lang w:val="en-GB" w:eastAsia="en-GB"/>
        </w:rPr>
        <mc:AlternateContent>
          <mc:Choice Requires="wps">
            <w:drawing>
              <wp:anchor distT="0" distB="0" distL="114300" distR="114300" simplePos="0" relativeHeight="251651584" behindDoc="0" locked="0" layoutInCell="1" allowOverlap="1">
                <wp:simplePos x="0" y="0"/>
                <wp:positionH relativeFrom="column">
                  <wp:posOffset>2199005</wp:posOffset>
                </wp:positionH>
                <wp:positionV relativeFrom="paragraph">
                  <wp:posOffset>154305</wp:posOffset>
                </wp:positionV>
                <wp:extent cx="189865" cy="164465"/>
                <wp:effectExtent l="5715" t="6985" r="13970" b="9525"/>
                <wp:wrapNone/>
                <wp:docPr id="1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173.15pt;margin-top:12.15pt;width:14.95pt;height:1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Pdg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" filled="f"/>
            </w:pict>
          </mc:Fallback>
        </mc:AlternateContent>
      </w:r>
      <w:r w:rsidR="0017738C" w:rsidRPr="0013378F">
        <w:rPr>
          <w:rFonts w:ascii="Arial" w:hAnsi="Arial" w:cs="Arial"/>
          <w:bCs/>
          <w:iCs/>
          <w:color w:val="000000"/>
          <w:szCs w:val="22"/>
        </w:rPr>
        <w:t xml:space="preserve">Book </w:t>
      </w:r>
    </w:p>
    <w:p w:rsidR="0017738C" w:rsidRPr="0013378F" w:rsidRDefault="002D76EA" w:rsidP="002D76EA">
      <w:pPr>
        <w:widowControl w:val="0"/>
        <w:numPr>
          <w:ilvl w:val="0"/>
          <w:numId w:val="28"/>
        </w:numPr>
        <w:tabs>
          <w:tab w:val="left" w:pos="840"/>
        </w:tabs>
        <w:autoSpaceDE w:val="0"/>
        <w:autoSpaceDN w:val="0"/>
        <w:adjustRightInd w:val="0"/>
        <w:spacing w:before="276"/>
        <w:jc w:val="both"/>
        <w:rPr>
          <w:rFonts w:ascii="Arial" w:hAnsi="Arial" w:cs="Arial"/>
          <w:bCs/>
          <w:iCs/>
          <w:color w:val="000000"/>
          <w:szCs w:val="22"/>
        </w:rPr>
      </w:pPr>
      <w:r>
        <w:rPr>
          <w:rFonts w:ascii="Arial" w:hAnsi="Arial" w:cs="Arial"/>
          <w:bCs/>
          <w:iCs/>
          <w:noProof/>
          <w:color w:val="000000"/>
          <w:szCs w:val="22"/>
          <w:lang w:val="en-GB" w:eastAsia="en-GB"/>
        </w:rPr>
        <mc:AlternateContent>
          <mc:Choice Requires="wps">
            <w:drawing>
              <wp:anchor distT="0" distB="0" distL="114300" distR="114300" simplePos="0" relativeHeight="251652608" behindDoc="0" locked="0" layoutInCell="1" allowOverlap="1">
                <wp:simplePos x="0" y="0"/>
                <wp:positionH relativeFrom="column">
                  <wp:posOffset>2199005</wp:posOffset>
                </wp:positionH>
                <wp:positionV relativeFrom="paragraph">
                  <wp:posOffset>135255</wp:posOffset>
                </wp:positionV>
                <wp:extent cx="189865" cy="164465"/>
                <wp:effectExtent l="5715" t="5080" r="13970" b="11430"/>
                <wp:wrapNone/>
                <wp:docPr id="1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73.15pt;margin-top:10.65pt;width:14.95pt;height:1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oadg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" filled="f"/>
            </w:pict>
          </mc:Fallback>
        </mc:AlternateContent>
      </w:r>
      <w:r w:rsidR="0017738C" w:rsidRPr="0013378F">
        <w:rPr>
          <w:rFonts w:ascii="Arial" w:hAnsi="Arial" w:cs="Arial"/>
          <w:bCs/>
          <w:iCs/>
          <w:color w:val="000000"/>
          <w:szCs w:val="22"/>
        </w:rPr>
        <w:t xml:space="preserve">Journal </w:t>
      </w:r>
    </w:p>
    <w:p w:rsidR="0017738C" w:rsidRPr="0013378F" w:rsidRDefault="002D76EA" w:rsidP="002D76EA">
      <w:pPr>
        <w:widowControl w:val="0"/>
        <w:numPr>
          <w:ilvl w:val="0"/>
          <w:numId w:val="28"/>
        </w:numPr>
        <w:tabs>
          <w:tab w:val="left" w:pos="840"/>
        </w:tabs>
        <w:autoSpaceDE w:val="0"/>
        <w:autoSpaceDN w:val="0"/>
        <w:adjustRightInd w:val="0"/>
        <w:spacing w:before="276"/>
        <w:jc w:val="both"/>
        <w:rPr>
          <w:rFonts w:ascii="Arial" w:hAnsi="Arial" w:cs="Arial"/>
          <w:bCs/>
          <w:iCs/>
          <w:color w:val="000000"/>
          <w:szCs w:val="22"/>
        </w:rPr>
      </w:pPr>
      <w:r>
        <w:rPr>
          <w:rFonts w:ascii="Arial" w:hAnsi="Arial" w:cs="Arial"/>
          <w:bCs/>
          <w:iCs/>
          <w:noProof/>
          <w:color w:val="000000"/>
          <w:szCs w:val="22"/>
          <w:lang w:val="en-GB" w:eastAsia="en-GB"/>
        </w:rPr>
        <mc:AlternateContent>
          <mc:Choice Requires="wps">
            <w:drawing>
              <wp:anchor distT="0" distB="0" distL="114300" distR="114300" simplePos="0" relativeHeight="251654656" behindDoc="0" locked="0" layoutInCell="1" allowOverlap="1">
                <wp:simplePos x="0" y="0"/>
                <wp:positionH relativeFrom="column">
                  <wp:posOffset>2199005</wp:posOffset>
                </wp:positionH>
                <wp:positionV relativeFrom="paragraph">
                  <wp:posOffset>116205</wp:posOffset>
                </wp:positionV>
                <wp:extent cx="189865" cy="164465"/>
                <wp:effectExtent l="5715" t="12065" r="13970" b="13970"/>
                <wp:wrapNone/>
                <wp:docPr id="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73.15pt;margin-top:9.15pt;width:14.95pt;height:1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7yUdQ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" filled="f"/>
            </w:pict>
          </mc:Fallback>
        </mc:AlternateContent>
      </w:r>
      <w:r w:rsidR="0017738C" w:rsidRPr="0013378F">
        <w:rPr>
          <w:rFonts w:ascii="Arial" w:hAnsi="Arial" w:cs="Arial"/>
          <w:bCs/>
          <w:iCs/>
          <w:color w:val="000000"/>
          <w:szCs w:val="22"/>
        </w:rPr>
        <w:t xml:space="preserve">Prototype </w:t>
      </w:r>
    </w:p>
    <w:p w:rsidR="0017738C" w:rsidRPr="0013378F" w:rsidRDefault="002D76EA" w:rsidP="002D76EA">
      <w:pPr>
        <w:widowControl w:val="0"/>
        <w:numPr>
          <w:ilvl w:val="0"/>
          <w:numId w:val="28"/>
        </w:numPr>
        <w:tabs>
          <w:tab w:val="left" w:pos="840"/>
        </w:tabs>
        <w:autoSpaceDE w:val="0"/>
        <w:autoSpaceDN w:val="0"/>
        <w:adjustRightInd w:val="0"/>
        <w:spacing w:before="276"/>
        <w:jc w:val="both"/>
        <w:rPr>
          <w:rFonts w:ascii="Arial" w:hAnsi="Arial" w:cs="Arial"/>
          <w:bCs/>
          <w:iCs/>
          <w:color w:val="000000"/>
          <w:szCs w:val="22"/>
        </w:rPr>
      </w:pPr>
      <w:r>
        <w:rPr>
          <w:rFonts w:ascii="Arial" w:hAnsi="Arial" w:cs="Arial"/>
          <w:bCs/>
          <w:iCs/>
          <w:noProof/>
          <w:color w:val="000000"/>
          <w:szCs w:val="22"/>
          <w:lang w:val="en-GB" w:eastAsia="en-GB"/>
        </w:rPr>
        <mc:AlternateContent>
          <mc:Choice Requires="wps">
            <w:drawing>
              <wp:anchor distT="0" distB="0" distL="114300" distR="114300" simplePos="0" relativeHeight="251653632" behindDoc="0" locked="0" layoutInCell="1" allowOverlap="1">
                <wp:simplePos x="0" y="0"/>
                <wp:positionH relativeFrom="column">
                  <wp:posOffset>2199005</wp:posOffset>
                </wp:positionH>
                <wp:positionV relativeFrom="paragraph">
                  <wp:posOffset>125730</wp:posOffset>
                </wp:positionV>
                <wp:extent cx="189865" cy="164465"/>
                <wp:effectExtent l="5715" t="10160" r="13970" b="6350"/>
                <wp:wrapNone/>
                <wp:docPr id="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173.15pt;margin-top:9.9pt;width:14.95pt;height:1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" filled="f"/>
            </w:pict>
          </mc:Fallback>
        </mc:AlternateContent>
      </w:r>
      <w:r w:rsidR="0017738C" w:rsidRPr="0013378F">
        <w:rPr>
          <w:rFonts w:ascii="Arial" w:hAnsi="Arial" w:cs="Arial"/>
          <w:bCs/>
          <w:iCs/>
          <w:color w:val="000000"/>
          <w:szCs w:val="22"/>
        </w:rPr>
        <w:t>Patent</w:t>
      </w:r>
    </w:p>
    <w:p w:rsidR="0017738C" w:rsidRPr="0013378F" w:rsidRDefault="002D76EA" w:rsidP="002D76EA">
      <w:pPr>
        <w:widowControl w:val="0"/>
        <w:numPr>
          <w:ilvl w:val="0"/>
          <w:numId w:val="28"/>
        </w:numPr>
        <w:tabs>
          <w:tab w:val="left" w:pos="840"/>
        </w:tabs>
        <w:autoSpaceDE w:val="0"/>
        <w:autoSpaceDN w:val="0"/>
        <w:adjustRightInd w:val="0"/>
        <w:spacing w:before="276"/>
        <w:jc w:val="both"/>
        <w:rPr>
          <w:rFonts w:ascii="Arial" w:hAnsi="Arial" w:cs="Arial"/>
          <w:bCs/>
          <w:iCs/>
          <w:color w:val="000000"/>
          <w:szCs w:val="22"/>
        </w:rPr>
      </w:pPr>
      <w:r>
        <w:rPr>
          <w:rFonts w:ascii="Arial" w:hAnsi="Arial" w:cs="Arial"/>
          <w:bCs/>
          <w:iCs/>
          <w:noProof/>
          <w:color w:val="000000"/>
          <w:szCs w:val="22"/>
          <w:lang w:val="en-GB" w:eastAsia="en-GB"/>
        </w:rPr>
        <mc:AlternateContent>
          <mc:Choice Requires="wps">
            <w:drawing>
              <wp:anchor distT="0" distB="0" distL="114300" distR="114300" simplePos="0" relativeHeight="251655680" behindDoc="0" locked="0" layoutInCell="1" allowOverlap="1">
                <wp:simplePos x="0" y="0"/>
                <wp:positionH relativeFrom="column">
                  <wp:posOffset>2199005</wp:posOffset>
                </wp:positionH>
                <wp:positionV relativeFrom="paragraph">
                  <wp:posOffset>162560</wp:posOffset>
                </wp:positionV>
                <wp:extent cx="189865" cy="164465"/>
                <wp:effectExtent l="5715" t="6985" r="13970" b="9525"/>
                <wp:wrapNone/>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173.15pt;margin-top:12.8pt;width:14.95pt;height:1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" filled="f"/>
            </w:pict>
          </mc:Fallback>
        </mc:AlternateContent>
      </w:r>
      <w:r w:rsidR="00CE34DF" w:rsidRPr="0013378F">
        <w:rPr>
          <w:rFonts w:ascii="Arial" w:hAnsi="Arial" w:cs="Arial"/>
          <w:bCs/>
          <w:iCs/>
          <w:color w:val="000000"/>
          <w:szCs w:val="22"/>
        </w:rPr>
        <w:t>Commercialization</w:t>
      </w:r>
      <w:r w:rsidR="0017738C" w:rsidRPr="0013378F">
        <w:rPr>
          <w:rFonts w:ascii="Arial" w:hAnsi="Arial" w:cs="Arial"/>
          <w:bCs/>
          <w:iCs/>
          <w:color w:val="000000"/>
          <w:szCs w:val="22"/>
        </w:rPr>
        <w:t xml:space="preserve"> </w:t>
      </w:r>
    </w:p>
    <w:p w:rsidR="0017738C" w:rsidRPr="0013378F" w:rsidRDefault="002D76EA" w:rsidP="002D76EA">
      <w:pPr>
        <w:widowControl w:val="0"/>
        <w:numPr>
          <w:ilvl w:val="0"/>
          <w:numId w:val="28"/>
        </w:numPr>
        <w:tabs>
          <w:tab w:val="left" w:pos="840"/>
        </w:tabs>
        <w:autoSpaceDE w:val="0"/>
        <w:autoSpaceDN w:val="0"/>
        <w:adjustRightInd w:val="0"/>
        <w:spacing w:before="276"/>
        <w:jc w:val="both"/>
        <w:rPr>
          <w:rFonts w:ascii="Arial" w:hAnsi="Arial" w:cs="Arial"/>
          <w:bCs/>
          <w:iCs/>
          <w:color w:val="000000"/>
          <w:szCs w:val="22"/>
        </w:rPr>
      </w:pPr>
      <w:r>
        <w:rPr>
          <w:rFonts w:ascii="Arial" w:hAnsi="Arial" w:cs="Arial"/>
          <w:bCs/>
          <w:iCs/>
          <w:noProof/>
          <w:color w:val="000000"/>
          <w:szCs w:val="22"/>
          <w:lang w:val="en-GB" w:eastAsia="en-GB"/>
        </w:rPr>
        <mc:AlternateContent>
          <mc:Choice Requires="wps">
            <w:drawing>
              <wp:anchor distT="0" distB="0" distL="114300" distR="114300" simplePos="0" relativeHeight="251662848" behindDoc="0" locked="0" layoutInCell="1" allowOverlap="1">
                <wp:simplePos x="0" y="0"/>
                <wp:positionH relativeFrom="column">
                  <wp:posOffset>2199005</wp:posOffset>
                </wp:positionH>
                <wp:positionV relativeFrom="paragraph">
                  <wp:posOffset>196850</wp:posOffset>
                </wp:positionV>
                <wp:extent cx="189865" cy="164465"/>
                <wp:effectExtent l="5715" t="10795" r="13970" b="5715"/>
                <wp:wrapNone/>
                <wp:docPr id="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3.15pt;margin-top:15.5pt;width:14.95pt;height:12.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Xddg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" filled="f"/>
            </w:pict>
          </mc:Fallback>
        </mc:AlternateContent>
      </w:r>
      <w:r w:rsidR="0017738C" w:rsidRPr="0013378F">
        <w:rPr>
          <w:rFonts w:ascii="Arial" w:hAnsi="Arial" w:cs="Arial"/>
          <w:bCs/>
          <w:iCs/>
          <w:color w:val="000000"/>
          <w:szCs w:val="22"/>
        </w:rPr>
        <w:t>Other  (Please specify)</w:t>
      </w:r>
      <w:r w:rsidR="00486C45" w:rsidRPr="0013378F">
        <w:rPr>
          <w:rFonts w:ascii="Arial" w:hAnsi="Arial" w:cs="Arial"/>
          <w:bCs/>
          <w:iCs/>
          <w:color w:val="000000"/>
          <w:szCs w:val="22"/>
        </w:rPr>
        <w:t xml:space="preserve">   </w:t>
      </w:r>
      <w:r w:rsidR="0017738C" w:rsidRPr="0013378F">
        <w:rPr>
          <w:rFonts w:ascii="Arial" w:hAnsi="Arial" w:cs="Arial"/>
          <w:bCs/>
          <w:iCs/>
          <w:color w:val="000000"/>
          <w:szCs w:val="22"/>
        </w:rPr>
        <w:tab/>
        <w:t xml:space="preserve">        </w:t>
      </w:r>
    </w:p>
    <w:p w:rsidR="0017738C" w:rsidRPr="0013378F" w:rsidRDefault="002D76EA" w:rsidP="002D76EA">
      <w:pPr>
        <w:widowControl w:val="0"/>
        <w:tabs>
          <w:tab w:val="left" w:pos="840"/>
        </w:tabs>
        <w:autoSpaceDE w:val="0"/>
        <w:autoSpaceDN w:val="0"/>
        <w:adjustRightInd w:val="0"/>
        <w:spacing w:before="276"/>
        <w:jc w:val="both"/>
        <w:rPr>
          <w:rFonts w:ascii="Arial" w:hAnsi="Arial" w:cs="Arial"/>
          <w:bCs/>
          <w:iCs/>
          <w:color w:val="000000"/>
          <w:szCs w:val="22"/>
        </w:rPr>
      </w:pPr>
      <w:r>
        <w:rPr>
          <w:rFonts w:ascii="Arial" w:hAnsi="Arial" w:cs="Arial"/>
          <w:bCs/>
          <w:iCs/>
          <w:noProof/>
          <w:color w:val="000000"/>
          <w:szCs w:val="22"/>
          <w:lang w:val="en-GB" w:eastAsia="en-GB"/>
        </w:rPr>
        <mc:AlternateContent>
          <mc:Choice Requires="wps">
            <w:drawing>
              <wp:anchor distT="0" distB="0" distL="114300" distR="114300" simplePos="0" relativeHeight="251663872" behindDoc="0" locked="0" layoutInCell="1" allowOverlap="1">
                <wp:simplePos x="0" y="0"/>
                <wp:positionH relativeFrom="column">
                  <wp:posOffset>2476500</wp:posOffset>
                </wp:positionH>
                <wp:positionV relativeFrom="paragraph">
                  <wp:posOffset>10795</wp:posOffset>
                </wp:positionV>
                <wp:extent cx="3284220" cy="0"/>
                <wp:effectExtent l="6985" t="13335" r="13970" b="5715"/>
                <wp:wrapNone/>
                <wp:docPr id="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42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195pt;margin-top:.85pt;width:258.6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P2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" strokeweight=".25pt"/>
            </w:pict>
          </mc:Fallback>
        </mc:AlternateContent>
      </w:r>
    </w:p>
    <w:p w:rsidR="00486C45" w:rsidRPr="0013378F" w:rsidRDefault="002D76EA" w:rsidP="002D76EA">
      <w:pPr>
        <w:widowControl w:val="0"/>
        <w:tabs>
          <w:tab w:val="left" w:pos="840"/>
        </w:tabs>
        <w:autoSpaceDE w:val="0"/>
        <w:autoSpaceDN w:val="0"/>
        <w:adjustRightInd w:val="0"/>
        <w:spacing w:before="276"/>
        <w:jc w:val="both"/>
        <w:rPr>
          <w:rFonts w:ascii="Arial" w:hAnsi="Arial" w:cs="Arial"/>
          <w:bCs/>
          <w:iCs/>
          <w:color w:val="000000"/>
          <w:szCs w:val="22"/>
        </w:rPr>
      </w:pPr>
      <w:r>
        <w:rPr>
          <w:rFonts w:ascii="Arial" w:hAnsi="Arial" w:cs="Arial"/>
          <w:bCs/>
          <w:iCs/>
          <w:noProof/>
          <w:color w:val="000000"/>
          <w:szCs w:val="22"/>
          <w:lang w:val="en-GB" w:eastAsia="en-GB"/>
        </w:rPr>
        <mc:AlternateContent>
          <mc:Choice Requires="wps">
            <w:drawing>
              <wp:anchor distT="0" distB="0" distL="114300" distR="114300" simplePos="0" relativeHeight="251664896" behindDoc="0" locked="0" layoutInCell="1" allowOverlap="1">
                <wp:simplePos x="0" y="0"/>
                <wp:positionH relativeFrom="column">
                  <wp:posOffset>878205</wp:posOffset>
                </wp:positionH>
                <wp:positionV relativeFrom="paragraph">
                  <wp:posOffset>325755</wp:posOffset>
                </wp:positionV>
                <wp:extent cx="3284220" cy="0"/>
                <wp:effectExtent l="8890" t="12065" r="12065" b="6985"/>
                <wp:wrapNone/>
                <wp:docPr id="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42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69.15pt;margin-top:25.65pt;width:258.6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" strokeweight=".25pt"/>
            </w:pict>
          </mc:Fallback>
        </mc:AlternateContent>
      </w:r>
      <w:r w:rsidR="004D5A98" w:rsidRPr="0013378F">
        <w:rPr>
          <w:rFonts w:ascii="Arial" w:hAnsi="Arial" w:cs="Arial"/>
          <w:bCs/>
          <w:iCs/>
          <w:color w:val="000000"/>
          <w:szCs w:val="22"/>
        </w:rPr>
        <w:t>Signature:</w:t>
      </w:r>
      <w:r w:rsidR="0017738C" w:rsidRPr="0013378F">
        <w:rPr>
          <w:rFonts w:ascii="Arial" w:hAnsi="Arial" w:cs="Arial"/>
          <w:bCs/>
          <w:iCs/>
          <w:color w:val="000000"/>
          <w:szCs w:val="22"/>
        </w:rPr>
        <w:tab/>
      </w:r>
    </w:p>
    <w:p w:rsidR="004D5A98" w:rsidRPr="0013378F" w:rsidRDefault="002D76EA" w:rsidP="002D76EA">
      <w:pPr>
        <w:widowControl w:val="0"/>
        <w:tabs>
          <w:tab w:val="left" w:pos="840"/>
        </w:tabs>
        <w:autoSpaceDE w:val="0"/>
        <w:autoSpaceDN w:val="0"/>
        <w:adjustRightInd w:val="0"/>
        <w:spacing w:before="276"/>
        <w:jc w:val="both"/>
        <w:rPr>
          <w:rFonts w:ascii="Arial" w:hAnsi="Arial" w:cs="Arial"/>
          <w:bCs/>
          <w:iCs/>
          <w:color w:val="000000"/>
          <w:szCs w:val="22"/>
        </w:rPr>
      </w:pPr>
      <w:r>
        <w:rPr>
          <w:rFonts w:ascii="Arial" w:hAnsi="Arial" w:cs="Arial"/>
          <w:bCs/>
          <w:iCs/>
          <w:noProof/>
          <w:color w:val="000000"/>
          <w:szCs w:val="22"/>
          <w:lang w:val="en-GB" w:eastAsia="en-GB"/>
        </w:rPr>
        <mc:AlternateContent>
          <mc:Choice Requires="wps">
            <w:drawing>
              <wp:anchor distT="0" distB="0" distL="114300" distR="114300" simplePos="0" relativeHeight="251665920" behindDoc="0" locked="0" layoutInCell="1" allowOverlap="1">
                <wp:simplePos x="0" y="0"/>
                <wp:positionH relativeFrom="column">
                  <wp:posOffset>878205</wp:posOffset>
                </wp:positionH>
                <wp:positionV relativeFrom="paragraph">
                  <wp:posOffset>326390</wp:posOffset>
                </wp:positionV>
                <wp:extent cx="3284220" cy="0"/>
                <wp:effectExtent l="8890" t="10795" r="12065" b="8255"/>
                <wp:wrapNone/>
                <wp:docPr id="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42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69.15pt;margin-top:25.7pt;width:258.6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WUHgIAADwEAAAOAAAAZHJzL2Uyb0RvYy54bWysU02P2jAQvVfqf7Byh3yQsh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" strokeweight=".25pt"/>
            </w:pict>
          </mc:Fallback>
        </mc:AlternateContent>
      </w:r>
      <w:r w:rsidR="004D5A98" w:rsidRPr="0013378F">
        <w:rPr>
          <w:rFonts w:ascii="Arial" w:hAnsi="Arial" w:cs="Arial"/>
          <w:bCs/>
          <w:iCs/>
          <w:color w:val="000000"/>
          <w:szCs w:val="22"/>
        </w:rPr>
        <w:t xml:space="preserve">Name: </w:t>
      </w:r>
      <w:r w:rsidR="0017738C" w:rsidRPr="0013378F">
        <w:rPr>
          <w:rFonts w:ascii="Arial" w:hAnsi="Arial" w:cs="Arial"/>
          <w:bCs/>
          <w:iCs/>
          <w:color w:val="000000"/>
          <w:szCs w:val="22"/>
        </w:rPr>
        <w:tab/>
      </w:r>
      <w:r w:rsidR="0017738C" w:rsidRPr="0013378F">
        <w:rPr>
          <w:rFonts w:ascii="Arial" w:hAnsi="Arial" w:cs="Arial"/>
          <w:bCs/>
          <w:iCs/>
          <w:color w:val="000000"/>
          <w:szCs w:val="22"/>
        </w:rPr>
        <w:tab/>
      </w:r>
    </w:p>
    <w:p w:rsidR="00020571" w:rsidRPr="0013378F" w:rsidRDefault="004D5A98" w:rsidP="002D76EA">
      <w:pPr>
        <w:widowControl w:val="0"/>
        <w:tabs>
          <w:tab w:val="left" w:pos="840"/>
        </w:tabs>
        <w:autoSpaceDE w:val="0"/>
        <w:autoSpaceDN w:val="0"/>
        <w:adjustRightInd w:val="0"/>
        <w:spacing w:before="276"/>
        <w:jc w:val="both"/>
        <w:rPr>
          <w:rFonts w:ascii="Arial" w:hAnsi="Arial" w:cs="Arial"/>
          <w:bCs/>
          <w:iCs/>
          <w:color w:val="000000"/>
          <w:szCs w:val="22"/>
        </w:rPr>
      </w:pPr>
      <w:r w:rsidRPr="0013378F">
        <w:rPr>
          <w:rFonts w:ascii="Arial" w:hAnsi="Arial" w:cs="Arial"/>
          <w:bCs/>
          <w:iCs/>
          <w:color w:val="000000"/>
          <w:szCs w:val="22"/>
        </w:rPr>
        <w:t xml:space="preserve">Date: </w:t>
      </w:r>
      <w:r w:rsidR="0017738C" w:rsidRPr="0013378F">
        <w:rPr>
          <w:rFonts w:ascii="Arial" w:hAnsi="Arial" w:cs="Arial"/>
          <w:bCs/>
          <w:iCs/>
          <w:color w:val="000000"/>
          <w:szCs w:val="22"/>
        </w:rPr>
        <w:tab/>
      </w:r>
      <w:r w:rsidR="0017738C" w:rsidRPr="0013378F">
        <w:rPr>
          <w:rFonts w:ascii="Arial" w:hAnsi="Arial" w:cs="Arial"/>
          <w:bCs/>
          <w:iCs/>
          <w:color w:val="000000"/>
          <w:szCs w:val="22"/>
        </w:rPr>
        <w:tab/>
      </w:r>
    </w:p>
    <w:p w:rsidR="00A15D13" w:rsidRPr="0013378F" w:rsidRDefault="002D76EA" w:rsidP="002D76EA">
      <w:pPr>
        <w:widowControl w:val="0"/>
        <w:tabs>
          <w:tab w:val="left" w:pos="840"/>
        </w:tabs>
        <w:autoSpaceDE w:val="0"/>
        <w:autoSpaceDN w:val="0"/>
        <w:adjustRightInd w:val="0"/>
        <w:spacing w:before="276"/>
        <w:jc w:val="both"/>
        <w:rPr>
          <w:rFonts w:ascii="Arial" w:hAnsi="Arial" w:cs="Arial"/>
          <w:szCs w:val="22"/>
        </w:rPr>
      </w:pPr>
      <w:r>
        <w:rPr>
          <w:rFonts w:ascii="Arial" w:hAnsi="Arial" w:cs="Arial"/>
          <w:bCs/>
          <w:iCs/>
          <w:noProof/>
          <w:color w:val="000000"/>
          <w:szCs w:val="22"/>
          <w:lang w:val="en-GB" w:eastAsia="en-GB"/>
        </w:rPr>
        <mc:AlternateContent>
          <mc:Choice Requires="wps">
            <w:drawing>
              <wp:anchor distT="0" distB="0" distL="114300" distR="114300" simplePos="0" relativeHeight="251666944" behindDoc="0" locked="0" layoutInCell="1" allowOverlap="1">
                <wp:simplePos x="0" y="0"/>
                <wp:positionH relativeFrom="column">
                  <wp:posOffset>878205</wp:posOffset>
                </wp:positionH>
                <wp:positionV relativeFrom="paragraph">
                  <wp:posOffset>27940</wp:posOffset>
                </wp:positionV>
                <wp:extent cx="3284220" cy="0"/>
                <wp:effectExtent l="8890" t="13335" r="12065" b="5715"/>
                <wp:wrapNone/>
                <wp:docPr id="2"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42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69.15pt;margin-top:2.2pt;width:258.6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" strokeweight=".25pt"/>
            </w:pict>
          </mc:Fallback>
        </mc:AlternateContent>
      </w:r>
    </w:p>
    <w:p w:rsidR="00CE34DF" w:rsidRDefault="00CE34DF" w:rsidP="002D76EA">
      <w:pPr>
        <w:widowControl w:val="0"/>
        <w:tabs>
          <w:tab w:val="left" w:pos="840"/>
        </w:tabs>
        <w:autoSpaceDE w:val="0"/>
        <w:autoSpaceDN w:val="0"/>
        <w:adjustRightInd w:val="0"/>
        <w:spacing w:before="276"/>
        <w:jc w:val="both"/>
        <w:rPr>
          <w:rFonts w:ascii="Arial" w:hAnsi="Arial" w:cs="Arial"/>
          <w:sz w:val="22"/>
          <w:szCs w:val="22"/>
        </w:rPr>
      </w:pPr>
    </w:p>
    <w:p w:rsidR="00CE34DF" w:rsidRDefault="00CE34DF" w:rsidP="002D76EA">
      <w:pPr>
        <w:widowControl w:val="0"/>
        <w:tabs>
          <w:tab w:val="left" w:pos="840"/>
        </w:tabs>
        <w:autoSpaceDE w:val="0"/>
        <w:autoSpaceDN w:val="0"/>
        <w:adjustRightInd w:val="0"/>
        <w:spacing w:before="276"/>
        <w:jc w:val="both"/>
        <w:rPr>
          <w:rFonts w:ascii="Arial" w:hAnsi="Arial" w:cs="Arial"/>
          <w:sz w:val="22"/>
          <w:szCs w:val="22"/>
        </w:rPr>
      </w:pPr>
    </w:p>
    <w:p w:rsidR="00CE34DF" w:rsidRDefault="00CE34DF" w:rsidP="002D76EA">
      <w:pPr>
        <w:widowControl w:val="0"/>
        <w:tabs>
          <w:tab w:val="left" w:pos="840"/>
        </w:tabs>
        <w:autoSpaceDE w:val="0"/>
        <w:autoSpaceDN w:val="0"/>
        <w:adjustRightInd w:val="0"/>
        <w:spacing w:before="276"/>
        <w:jc w:val="both"/>
        <w:rPr>
          <w:rFonts w:ascii="Arial" w:hAnsi="Arial" w:cs="Arial"/>
          <w:sz w:val="22"/>
          <w:szCs w:val="22"/>
        </w:rPr>
      </w:pPr>
    </w:p>
    <w:p w:rsidR="00CE34DF" w:rsidRDefault="00CE34DF" w:rsidP="002D76EA">
      <w:pPr>
        <w:widowControl w:val="0"/>
        <w:tabs>
          <w:tab w:val="left" w:pos="840"/>
        </w:tabs>
        <w:autoSpaceDE w:val="0"/>
        <w:autoSpaceDN w:val="0"/>
        <w:adjustRightInd w:val="0"/>
        <w:spacing w:before="276"/>
        <w:jc w:val="both"/>
        <w:rPr>
          <w:rFonts w:ascii="Arial" w:hAnsi="Arial" w:cs="Arial"/>
          <w:sz w:val="22"/>
          <w:szCs w:val="22"/>
        </w:rPr>
      </w:pPr>
    </w:p>
    <w:p w:rsidR="00CE34DF" w:rsidRDefault="00CE34DF" w:rsidP="002D76EA">
      <w:pPr>
        <w:widowControl w:val="0"/>
        <w:tabs>
          <w:tab w:val="left" w:pos="840"/>
        </w:tabs>
        <w:autoSpaceDE w:val="0"/>
        <w:autoSpaceDN w:val="0"/>
        <w:adjustRightInd w:val="0"/>
        <w:spacing w:before="276"/>
        <w:jc w:val="both"/>
        <w:rPr>
          <w:rFonts w:ascii="Arial" w:hAnsi="Arial" w:cs="Arial"/>
          <w:sz w:val="22"/>
          <w:szCs w:val="22"/>
        </w:rPr>
      </w:pPr>
    </w:p>
    <w:p w:rsidR="00CE34DF" w:rsidRPr="002D76EA" w:rsidRDefault="00CE34DF" w:rsidP="002D76EA">
      <w:pPr>
        <w:widowControl w:val="0"/>
        <w:tabs>
          <w:tab w:val="left" w:pos="840"/>
        </w:tabs>
        <w:autoSpaceDE w:val="0"/>
        <w:autoSpaceDN w:val="0"/>
        <w:adjustRightInd w:val="0"/>
        <w:spacing w:before="276" w:line="360" w:lineRule="auto"/>
        <w:jc w:val="both"/>
      </w:pPr>
    </w:p>
    <w:tbl>
      <w:tblPr>
        <w:tblW w:w="964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8B3D50" w:rsidRPr="002D76EA" w:rsidTr="00992EAE">
        <w:trPr>
          <w:trHeight w:val="432"/>
        </w:trPr>
        <w:tc>
          <w:tcPr>
            <w:tcW w:w="9648" w:type="dxa"/>
            <w:tcBorders>
              <w:top w:val="single" w:sz="12" w:space="0" w:color="000000"/>
              <w:left w:val="single" w:sz="12" w:space="0" w:color="000000"/>
              <w:bottom w:val="single" w:sz="12" w:space="0" w:color="000000"/>
              <w:right w:val="single" w:sz="12" w:space="0" w:color="000000"/>
            </w:tcBorders>
            <w:vAlign w:val="center"/>
          </w:tcPr>
          <w:p w:rsidR="00020571" w:rsidRDefault="000842F3" w:rsidP="002D76EA">
            <w:pPr>
              <w:spacing w:line="360" w:lineRule="auto"/>
              <w:jc w:val="center"/>
              <w:rPr>
                <w:b/>
                <w:color w:val="030799"/>
              </w:rPr>
            </w:pPr>
            <w:r w:rsidRPr="002D76EA">
              <w:rPr>
                <w:b/>
                <w:color w:val="030799"/>
              </w:rPr>
              <w:t xml:space="preserve">FULL </w:t>
            </w:r>
            <w:r w:rsidR="00020571" w:rsidRPr="002D76EA">
              <w:rPr>
                <w:b/>
                <w:color w:val="030799"/>
              </w:rPr>
              <w:t>RESEARCH REPORT</w:t>
            </w:r>
          </w:p>
          <w:p w:rsidR="001E7BDC" w:rsidRPr="002D76EA" w:rsidRDefault="002D76EA" w:rsidP="002D76EA">
            <w:pPr>
              <w:spacing w:line="360" w:lineRule="auto"/>
              <w:jc w:val="center"/>
              <w:rPr>
                <w:b/>
                <w:color w:val="030799"/>
              </w:rPr>
            </w:pPr>
            <w:r>
              <w:rPr>
                <w:b/>
                <w:color w:val="030799"/>
              </w:rPr>
              <w:t>Research Initiative Grant Scheme (RIGS)</w:t>
            </w:r>
          </w:p>
        </w:tc>
      </w:tr>
    </w:tbl>
    <w:p w:rsidR="008226E0" w:rsidRPr="002D76EA" w:rsidRDefault="008226E0" w:rsidP="002D76EA">
      <w:pPr>
        <w:spacing w:line="360" w:lineRule="auto"/>
        <w:ind w:left="1440"/>
        <w:jc w:val="both"/>
        <w:rPr>
          <w:b/>
        </w:rPr>
      </w:pPr>
    </w:p>
    <w:p w:rsidR="00D20AA0" w:rsidRPr="002D76EA" w:rsidRDefault="000842F3" w:rsidP="002D76EA">
      <w:pPr>
        <w:spacing w:line="360" w:lineRule="auto"/>
        <w:jc w:val="both"/>
        <w:rPr>
          <w:b/>
        </w:rPr>
      </w:pPr>
      <w:r w:rsidRPr="002D76EA">
        <w:rPr>
          <w:b/>
        </w:rPr>
        <w:t>P</w:t>
      </w:r>
      <w:r w:rsidR="008226E0" w:rsidRPr="002D76EA">
        <w:rPr>
          <w:b/>
        </w:rPr>
        <w:t xml:space="preserve">roject </w:t>
      </w:r>
      <w:r w:rsidR="00F449A6" w:rsidRPr="002D76EA">
        <w:rPr>
          <w:b/>
        </w:rPr>
        <w:t>ID/</w:t>
      </w:r>
      <w:r w:rsidR="008226E0" w:rsidRPr="002D76EA">
        <w:rPr>
          <w:b/>
        </w:rPr>
        <w:t xml:space="preserve">Title: </w:t>
      </w:r>
      <w:hyperlink r:id="rId13" w:tgtFrame="_blank" w:history="1">
        <w:r w:rsidRPr="002D76EA">
          <w:t>RIGS16-007-0171</w:t>
        </w:r>
      </w:hyperlink>
    </w:p>
    <w:p w:rsidR="00F449A6" w:rsidRPr="002D76EA" w:rsidRDefault="00F449A6" w:rsidP="002D76EA">
      <w:pPr>
        <w:spacing w:line="360" w:lineRule="auto"/>
        <w:jc w:val="both"/>
        <w:rPr>
          <w:b/>
        </w:rPr>
      </w:pPr>
      <w:r w:rsidRPr="002D76EA">
        <w:rPr>
          <w:b/>
        </w:rPr>
        <w:t>Project Sponsor:</w:t>
      </w:r>
      <w:r w:rsidR="000842F3" w:rsidRPr="002D76EA">
        <w:rPr>
          <w:b/>
        </w:rPr>
        <w:t xml:space="preserve"> International Islamic University Malaysia</w:t>
      </w:r>
    </w:p>
    <w:p w:rsidR="008226E0" w:rsidRPr="002D76EA" w:rsidRDefault="008226E0" w:rsidP="002D76EA">
      <w:pPr>
        <w:spacing w:line="360" w:lineRule="auto"/>
        <w:jc w:val="both"/>
        <w:rPr>
          <w:b/>
        </w:rPr>
      </w:pPr>
      <w:r w:rsidRPr="002D76EA">
        <w:rPr>
          <w:b/>
        </w:rPr>
        <w:t>Author Name(s):</w:t>
      </w:r>
      <w:r w:rsidR="000842F3" w:rsidRPr="002D76EA">
        <w:rPr>
          <w:b/>
        </w:rPr>
        <w:t xml:space="preserve"> Wan </w:t>
      </w:r>
      <w:proofErr w:type="spellStart"/>
      <w:r w:rsidR="000842F3" w:rsidRPr="002D76EA">
        <w:rPr>
          <w:b/>
        </w:rPr>
        <w:t>Mohd</w:t>
      </w:r>
      <w:proofErr w:type="spellEnd"/>
      <w:r w:rsidR="000842F3" w:rsidRPr="002D76EA">
        <w:rPr>
          <w:b/>
        </w:rPr>
        <w:t xml:space="preserve"> </w:t>
      </w:r>
      <w:proofErr w:type="spellStart"/>
      <w:r w:rsidR="000842F3" w:rsidRPr="002D76EA">
        <w:rPr>
          <w:b/>
        </w:rPr>
        <w:t>Zulhafiz</w:t>
      </w:r>
      <w:proofErr w:type="spellEnd"/>
      <w:r w:rsidR="000842F3" w:rsidRPr="002D76EA">
        <w:rPr>
          <w:b/>
        </w:rPr>
        <w:t xml:space="preserve"> bin Wan </w:t>
      </w:r>
      <w:proofErr w:type="spellStart"/>
      <w:r w:rsidR="000842F3" w:rsidRPr="002D76EA">
        <w:rPr>
          <w:b/>
        </w:rPr>
        <w:t>Zahari</w:t>
      </w:r>
      <w:proofErr w:type="spellEnd"/>
    </w:p>
    <w:p w:rsidR="008226E0" w:rsidRPr="002D76EA" w:rsidRDefault="008226E0" w:rsidP="002D76EA">
      <w:pPr>
        <w:spacing w:line="360" w:lineRule="auto"/>
        <w:jc w:val="both"/>
        <w:rPr>
          <w:b/>
        </w:rPr>
      </w:pPr>
      <w:r w:rsidRPr="002D76EA">
        <w:rPr>
          <w:b/>
        </w:rPr>
        <w:t>Department/</w:t>
      </w:r>
      <w:proofErr w:type="spellStart"/>
      <w:r w:rsidRPr="002D76EA">
        <w:rPr>
          <w:b/>
        </w:rPr>
        <w:t>Kulliyyah</w:t>
      </w:r>
      <w:proofErr w:type="spellEnd"/>
      <w:r w:rsidRPr="002D76EA">
        <w:rPr>
          <w:b/>
        </w:rPr>
        <w:t>/Institute/Centre:</w:t>
      </w:r>
      <w:r w:rsidR="000842F3" w:rsidRPr="002D76EA">
        <w:rPr>
          <w:b/>
        </w:rPr>
        <w:t xml:space="preserve"> AIKOL</w:t>
      </w:r>
    </w:p>
    <w:p w:rsidR="000842F3" w:rsidRPr="002D76EA" w:rsidRDefault="008226E0" w:rsidP="002D76EA">
      <w:pPr>
        <w:spacing w:line="360" w:lineRule="auto"/>
        <w:jc w:val="both"/>
      </w:pPr>
      <w:r w:rsidRPr="002D76EA">
        <w:rPr>
          <w:b/>
        </w:rPr>
        <w:t>Abstract:</w:t>
      </w:r>
      <w:r w:rsidR="000842F3" w:rsidRPr="002D76EA">
        <w:t xml:space="preserve"> </w:t>
      </w:r>
    </w:p>
    <w:p w:rsidR="008226E0" w:rsidRDefault="000842F3" w:rsidP="002D76EA">
      <w:pPr>
        <w:spacing w:line="360" w:lineRule="auto"/>
        <w:jc w:val="both"/>
      </w:pPr>
      <w:r w:rsidRPr="002D76EA">
        <w:t xml:space="preserve">Many oilfield service contracts in Malaysia contain an imbalanced allocation of liability and unfair indemnity and hold harmless clauses. Therefore, the legality of oilfield service contracts, and in particular the risk allocation provisions, will be explored and </w:t>
      </w:r>
      <w:proofErr w:type="spellStart"/>
      <w:r w:rsidRPr="002D76EA">
        <w:t>analysed</w:t>
      </w:r>
      <w:proofErr w:type="spellEnd"/>
      <w:r w:rsidRPr="002D76EA">
        <w:t xml:space="preserve"> in this study. It is also expected that the findings from this research will shed light on the problem concerning imbalanced risk allocation provisions and unfair indemnity and hold harmless clauses. Combining empirical evidence with legal doctrinal study, this research will propose a regulatory framework and practical measures to the Malaysian legislative body. Thus, a suitable legal mechanism will be proposed in order to solve this problem. The regulations are designed to address the issue of imbalanced risk allocation and unfair indemnity and hold harmless clauses between the operator and contractor in the oilfield service contracts in Malaysia. This study suggests a specific statutory law designed to regulate unfair risk allocation provisions and imbalanced indemnity and hold harmless clauses. The proposed law would seek to protect the interest of contractors in Malaysia and would be called: the Malaysian Oilfield Anti-Indemnity Act.</w:t>
      </w:r>
    </w:p>
    <w:p w:rsidR="002D76EA" w:rsidRPr="002D76EA" w:rsidRDefault="002D76EA" w:rsidP="002D76EA">
      <w:pPr>
        <w:spacing w:line="360" w:lineRule="auto"/>
        <w:jc w:val="both"/>
        <w:rPr>
          <w:b/>
        </w:rPr>
      </w:pPr>
    </w:p>
    <w:p w:rsidR="008226E0" w:rsidRPr="002D76EA" w:rsidRDefault="008226E0" w:rsidP="002D76EA">
      <w:pPr>
        <w:spacing w:line="360" w:lineRule="auto"/>
        <w:jc w:val="both"/>
        <w:rPr>
          <w:b/>
        </w:rPr>
      </w:pPr>
      <w:r w:rsidRPr="002D76EA">
        <w:rPr>
          <w:b/>
        </w:rPr>
        <w:t>Key words:</w:t>
      </w:r>
      <w:r w:rsidRPr="002D76EA">
        <w:rPr>
          <w:b/>
        </w:rPr>
        <w:tab/>
      </w:r>
      <w:r w:rsidR="000842F3" w:rsidRPr="002D76EA">
        <w:t>Oil and gas law, oilfield service contracts, risk allocation, indemnity clauses.</w:t>
      </w:r>
    </w:p>
    <w:p w:rsidR="000842F3" w:rsidRPr="002D76EA" w:rsidRDefault="000842F3" w:rsidP="002D76EA">
      <w:pPr>
        <w:spacing w:line="360" w:lineRule="auto"/>
        <w:jc w:val="both"/>
        <w:rPr>
          <w:b/>
        </w:rPr>
      </w:pPr>
    </w:p>
    <w:p w:rsidR="000842F3" w:rsidRPr="002D76EA" w:rsidRDefault="000842F3" w:rsidP="002D76EA">
      <w:pPr>
        <w:spacing w:line="360" w:lineRule="auto"/>
        <w:jc w:val="both"/>
        <w:rPr>
          <w:b/>
        </w:rPr>
      </w:pPr>
    </w:p>
    <w:p w:rsidR="000842F3" w:rsidRPr="002D76EA" w:rsidRDefault="000842F3" w:rsidP="002D76EA">
      <w:pPr>
        <w:spacing w:line="360" w:lineRule="auto"/>
        <w:jc w:val="both"/>
        <w:rPr>
          <w:b/>
        </w:rPr>
      </w:pPr>
    </w:p>
    <w:p w:rsidR="000842F3" w:rsidRPr="002D76EA" w:rsidRDefault="000842F3" w:rsidP="002D76EA">
      <w:pPr>
        <w:spacing w:line="360" w:lineRule="auto"/>
        <w:jc w:val="both"/>
        <w:rPr>
          <w:b/>
        </w:rPr>
      </w:pPr>
    </w:p>
    <w:p w:rsidR="000842F3" w:rsidRPr="002D76EA" w:rsidRDefault="000842F3" w:rsidP="002D76EA">
      <w:pPr>
        <w:spacing w:line="360" w:lineRule="auto"/>
        <w:jc w:val="both"/>
        <w:rPr>
          <w:b/>
        </w:rPr>
      </w:pPr>
    </w:p>
    <w:p w:rsidR="002D76EA" w:rsidRPr="002D76EA" w:rsidRDefault="002D76EA" w:rsidP="002D76EA">
      <w:pPr>
        <w:spacing w:line="360" w:lineRule="auto"/>
        <w:jc w:val="both"/>
        <w:rPr>
          <w:b/>
        </w:rPr>
      </w:pPr>
    </w:p>
    <w:p w:rsidR="002D76EA" w:rsidRPr="002D76EA" w:rsidRDefault="002D76EA" w:rsidP="002D76EA">
      <w:pPr>
        <w:spacing w:line="360" w:lineRule="auto"/>
        <w:jc w:val="both"/>
        <w:rPr>
          <w:b/>
        </w:rPr>
      </w:pPr>
    </w:p>
    <w:p w:rsidR="008226E0" w:rsidRPr="002D76EA" w:rsidRDefault="008226E0" w:rsidP="002D76EA">
      <w:pPr>
        <w:spacing w:line="360" w:lineRule="auto"/>
        <w:jc w:val="both"/>
        <w:rPr>
          <w:b/>
        </w:rPr>
      </w:pPr>
      <w:r w:rsidRPr="002D76EA">
        <w:rPr>
          <w:b/>
        </w:rPr>
        <w:lastRenderedPageBreak/>
        <w:t>Introduction:</w:t>
      </w:r>
    </w:p>
    <w:p w:rsidR="000842F3" w:rsidRPr="002D76EA" w:rsidRDefault="000842F3" w:rsidP="002D76EA">
      <w:pPr>
        <w:spacing w:line="360" w:lineRule="auto"/>
        <w:jc w:val="both"/>
        <w:rPr>
          <w:b/>
        </w:rPr>
      </w:pPr>
      <w:r w:rsidRPr="002D76EA">
        <w:t xml:space="preserve">This research aims to address the problems and legal issues arising from indemnity and hold harmless clauses in the oil and gas industry in Malaysia. It specifically focuses on risk allocation between the operators and contractors. It also proposes a regulatory framework to protect the respective interests of both parties by drawing inspiration from the indemnity laws in the United Kingdom and the United States of America. Usually contractors argue that the allocation of the risk </w:t>
      </w:r>
      <w:proofErr w:type="spellStart"/>
      <w:r w:rsidRPr="002D76EA">
        <w:t>favours</w:t>
      </w:r>
      <w:proofErr w:type="spellEnd"/>
      <w:r w:rsidRPr="002D76EA">
        <w:t xml:space="preserve"> operators, who have greater bargaining power over the contractors.  They also claim that the conditions of contract put forward by the operators contain imbalanced risk allocation provisions. These conditions and other Invitation to Bid documents are given to the contractors during the bidding process for negotiation. However, contractors claim that they are not in the position to qualify or change such conditions since they fear not being awarded a contract. In this regard, it is argued that there is unequal bargaining power between the operators and the contractors in allocating the contractual risk under the oilfield service contracts in Malaysia.</w:t>
      </w:r>
    </w:p>
    <w:p w:rsidR="000842F3" w:rsidRPr="002D76EA" w:rsidRDefault="000842F3" w:rsidP="002D76EA">
      <w:pPr>
        <w:spacing w:line="360" w:lineRule="auto"/>
        <w:jc w:val="both"/>
        <w:rPr>
          <w:b/>
        </w:rPr>
      </w:pPr>
    </w:p>
    <w:p w:rsidR="008226E0" w:rsidRPr="002D76EA" w:rsidRDefault="008226E0" w:rsidP="002D76EA">
      <w:pPr>
        <w:spacing w:line="360" w:lineRule="auto"/>
        <w:jc w:val="both"/>
        <w:rPr>
          <w:b/>
        </w:rPr>
      </w:pPr>
      <w:r w:rsidRPr="002D76EA">
        <w:rPr>
          <w:b/>
        </w:rPr>
        <w:t>Background:</w:t>
      </w:r>
    </w:p>
    <w:p w:rsidR="002D76EA" w:rsidRPr="002D76EA" w:rsidRDefault="002D76EA" w:rsidP="002D76EA">
      <w:pPr>
        <w:spacing w:line="360" w:lineRule="auto"/>
        <w:jc w:val="both"/>
      </w:pPr>
      <w:r w:rsidRPr="002D76EA">
        <w:t>Oil and gas projects are risky undertakings. Players in the oil and gas industry have to contend with a wide range of risks</w:t>
      </w:r>
      <w:bookmarkStart w:id="1" w:name="_Ref306720148"/>
      <w:r w:rsidRPr="002D76EA">
        <w:rPr>
          <w:rStyle w:val="FootnoteReference"/>
        </w:rPr>
        <w:footnoteReference w:id="1"/>
      </w:r>
      <w:bookmarkEnd w:id="1"/>
      <w:r w:rsidRPr="002D76EA">
        <w:t xml:space="preserve"> such as the risk of destroying the entire facility and the risk of injuring or killing the people on it.</w:t>
      </w:r>
      <w:bookmarkStart w:id="2" w:name="_Ref420687893"/>
      <w:r w:rsidRPr="002D76EA">
        <w:rPr>
          <w:rStyle w:val="FootnoteReference"/>
        </w:rPr>
        <w:footnoteReference w:id="2"/>
      </w:r>
      <w:bookmarkEnd w:id="2"/>
      <w:r w:rsidRPr="002D76EA">
        <w:t xml:space="preserve"> For example, in Malaysia on the 26</w:t>
      </w:r>
      <w:r w:rsidRPr="002D76EA">
        <w:rPr>
          <w:vertAlign w:val="superscript"/>
        </w:rPr>
        <w:t>th</w:t>
      </w:r>
      <w:r w:rsidRPr="002D76EA">
        <w:t xml:space="preserve"> of January 2012, a Malaysia International Shipping Corporation (MISC) tanker, MT </w:t>
      </w:r>
      <w:proofErr w:type="spellStart"/>
      <w:r w:rsidRPr="002D76EA">
        <w:t>Bunga</w:t>
      </w:r>
      <w:proofErr w:type="spellEnd"/>
      <w:r w:rsidRPr="002D76EA">
        <w:t xml:space="preserve"> </w:t>
      </w:r>
      <w:proofErr w:type="spellStart"/>
      <w:r w:rsidRPr="002D76EA">
        <w:t>Alpinia</w:t>
      </w:r>
      <w:proofErr w:type="spellEnd"/>
      <w:r w:rsidRPr="002D76EA">
        <w:t>, caught fire in Labuan during methanol loading.</w:t>
      </w:r>
      <w:r w:rsidRPr="002D76EA">
        <w:rPr>
          <w:rStyle w:val="FootnoteReference"/>
        </w:rPr>
        <w:t xml:space="preserve"> </w:t>
      </w:r>
      <w:r w:rsidRPr="002D76EA">
        <w:rPr>
          <w:rStyle w:val="FootnoteReference"/>
        </w:rPr>
        <w:footnoteReference w:id="3"/>
      </w:r>
      <w:r w:rsidRPr="002D76EA">
        <w:t xml:space="preserve"> This unfortunate accident not only resulted in the loss of life and damage to property but also indirectly caused economic losses since the fire led to disruption at </w:t>
      </w:r>
      <w:proofErr w:type="spellStart"/>
      <w:r w:rsidRPr="002D76EA">
        <w:t>Patau-Patau</w:t>
      </w:r>
      <w:proofErr w:type="spellEnd"/>
      <w:r w:rsidRPr="002D76EA">
        <w:t xml:space="preserve"> Power Station.</w:t>
      </w:r>
      <w:r w:rsidRPr="002D76EA">
        <w:rPr>
          <w:rStyle w:val="FootnoteReference"/>
        </w:rPr>
        <w:footnoteReference w:id="4"/>
      </w:r>
      <w:r w:rsidRPr="002D76EA">
        <w:t xml:space="preserve"> The oil tanker had caught fire and exploded at the jetty of </w:t>
      </w:r>
      <w:proofErr w:type="spellStart"/>
      <w:r w:rsidRPr="002D76EA">
        <w:t>Petronas</w:t>
      </w:r>
      <w:proofErr w:type="spellEnd"/>
      <w:r w:rsidRPr="002D76EA">
        <w:t xml:space="preserve"> Methanol Labuan.</w:t>
      </w:r>
      <w:r w:rsidRPr="002D76EA">
        <w:rPr>
          <w:rStyle w:val="FootnoteReference"/>
        </w:rPr>
        <w:footnoteReference w:id="5"/>
      </w:r>
      <w:r w:rsidRPr="002D76EA">
        <w:t xml:space="preserve"> The facility is part of the </w:t>
      </w:r>
      <w:proofErr w:type="spellStart"/>
      <w:r w:rsidRPr="002D76EA">
        <w:t>Rancha-Rancha</w:t>
      </w:r>
      <w:proofErr w:type="spellEnd"/>
      <w:r w:rsidRPr="002D76EA">
        <w:t xml:space="preserve"> industrial zone, which is located on the island of </w:t>
      </w:r>
      <w:proofErr w:type="spellStart"/>
      <w:r w:rsidRPr="002D76EA">
        <w:t>Pulau</w:t>
      </w:r>
      <w:proofErr w:type="spellEnd"/>
      <w:r w:rsidRPr="002D76EA">
        <w:t xml:space="preserve"> </w:t>
      </w:r>
      <w:proofErr w:type="spellStart"/>
      <w:r w:rsidRPr="002D76EA">
        <w:t>Enoe</w:t>
      </w:r>
      <w:proofErr w:type="spellEnd"/>
      <w:r w:rsidRPr="002D76EA">
        <w:t>, near Labuan. The 38,000 deadweight-</w:t>
      </w:r>
      <w:proofErr w:type="spellStart"/>
      <w:r w:rsidRPr="002D76EA">
        <w:t>tonne</w:t>
      </w:r>
      <w:proofErr w:type="spellEnd"/>
      <w:r w:rsidRPr="002D76EA">
        <w:t xml:space="preserve"> MISC tanker was loading six </w:t>
      </w:r>
      <w:r w:rsidRPr="002D76EA">
        <w:rPr>
          <w:noProof/>
        </w:rPr>
        <w:t>tonnes</w:t>
      </w:r>
      <w:r w:rsidRPr="002D76EA">
        <w:t xml:space="preserve"> of methanol when a small fire </w:t>
      </w:r>
      <w:r w:rsidRPr="002D76EA">
        <w:lastRenderedPageBreak/>
        <w:t>broke out during a thunderstorm.</w:t>
      </w:r>
      <w:r w:rsidRPr="002D76EA">
        <w:rPr>
          <w:rStyle w:val="FootnoteReference"/>
        </w:rPr>
        <w:footnoteReference w:id="6"/>
      </w:r>
      <w:r w:rsidRPr="002D76EA">
        <w:t xml:space="preserve"> The fire reportedly spread rapidly, sparking off at least three major explosions that some reported could be felt throughout the island.</w:t>
      </w:r>
      <w:r w:rsidRPr="002D76EA">
        <w:rPr>
          <w:rStyle w:val="FootnoteReference"/>
        </w:rPr>
        <w:footnoteReference w:id="7"/>
      </w:r>
      <w:r w:rsidRPr="002D76EA">
        <w:t xml:space="preserve"> MISC, a subsidiary of </w:t>
      </w:r>
      <w:proofErr w:type="spellStart"/>
      <w:r w:rsidRPr="002D76EA">
        <w:t>Petronas</w:t>
      </w:r>
      <w:proofErr w:type="spellEnd"/>
      <w:r w:rsidRPr="002D76EA">
        <w:t>, confirmed that the accident had claimed five lives.</w:t>
      </w:r>
      <w:r w:rsidRPr="002D76EA">
        <w:rPr>
          <w:rStyle w:val="FootnoteReference"/>
        </w:rPr>
        <w:footnoteReference w:id="8"/>
      </w:r>
      <w:r w:rsidRPr="002D76EA">
        <w:t xml:space="preserve"> Following the incident, operations at the </w:t>
      </w:r>
      <w:proofErr w:type="spellStart"/>
      <w:r w:rsidRPr="002D76EA">
        <w:t>Patau-Patau</w:t>
      </w:r>
      <w:proofErr w:type="spellEnd"/>
      <w:r w:rsidRPr="002D76EA">
        <w:t xml:space="preserve"> Power Station located next to the terminal and the only power station in Labuan were halted for safety reasons.</w:t>
      </w:r>
      <w:r w:rsidRPr="002D76EA">
        <w:rPr>
          <w:rStyle w:val="FootnoteReference"/>
        </w:rPr>
        <w:footnoteReference w:id="9"/>
      </w:r>
      <w:r w:rsidRPr="002D76EA">
        <w:t xml:space="preserve"> On another occasion, it was reported that five offshore workers were injured (two employees employed by </w:t>
      </w:r>
      <w:proofErr w:type="spellStart"/>
      <w:r w:rsidRPr="002D76EA">
        <w:t>Petronas</w:t>
      </w:r>
      <w:proofErr w:type="spellEnd"/>
      <w:r w:rsidRPr="002D76EA">
        <w:t xml:space="preserve"> and three workers employed by the contractors)</w:t>
      </w:r>
      <w:r w:rsidRPr="002D76EA">
        <w:rPr>
          <w:rStyle w:val="FootnoteReference"/>
        </w:rPr>
        <w:footnoteReference w:id="10"/>
      </w:r>
      <w:r w:rsidRPr="002D76EA">
        <w:t xml:space="preserve"> in an explosion on the 11</w:t>
      </w:r>
      <w:r w:rsidRPr="002D76EA">
        <w:rPr>
          <w:vertAlign w:val="superscript"/>
        </w:rPr>
        <w:t>th</w:t>
      </w:r>
      <w:r w:rsidRPr="002D76EA">
        <w:t xml:space="preserve"> of July 2012 at </w:t>
      </w:r>
      <w:proofErr w:type="spellStart"/>
      <w:r w:rsidRPr="002D76EA">
        <w:t>Petronas</w:t>
      </w:r>
      <w:proofErr w:type="spellEnd"/>
      <w:r w:rsidRPr="002D76EA">
        <w:t xml:space="preserve"> </w:t>
      </w:r>
      <w:proofErr w:type="spellStart"/>
      <w:r w:rsidRPr="002D76EA">
        <w:t>Tukau</w:t>
      </w:r>
      <w:proofErr w:type="spellEnd"/>
      <w:r w:rsidRPr="002D76EA">
        <w:t xml:space="preserve"> B drilling platform located offshore in Sarawak, Malaysia.</w:t>
      </w:r>
      <w:r w:rsidRPr="002D76EA">
        <w:rPr>
          <w:rStyle w:val="FootnoteReference"/>
        </w:rPr>
        <w:footnoteReference w:id="11"/>
      </w:r>
      <w:r w:rsidRPr="002D76EA">
        <w:t xml:space="preserve"> A similar incident happened on the 10</w:t>
      </w:r>
      <w:r w:rsidRPr="002D76EA">
        <w:rPr>
          <w:vertAlign w:val="superscript"/>
        </w:rPr>
        <w:t>th</w:t>
      </w:r>
      <w:r w:rsidRPr="002D76EA">
        <w:t xml:space="preserve"> of May 2012, where one worker was killed and twenty three injured in a gas plant blast at a </w:t>
      </w:r>
      <w:proofErr w:type="spellStart"/>
      <w:r w:rsidRPr="002D76EA">
        <w:t>Petronas</w:t>
      </w:r>
      <w:proofErr w:type="spellEnd"/>
      <w:r w:rsidRPr="002D76EA">
        <w:t xml:space="preserve"> gas processing plant in the GPP Complex A, which is located in </w:t>
      </w:r>
      <w:proofErr w:type="spellStart"/>
      <w:r w:rsidRPr="002D76EA">
        <w:t>Kerteh</w:t>
      </w:r>
      <w:proofErr w:type="spellEnd"/>
      <w:r w:rsidRPr="002D76EA">
        <w:t xml:space="preserve">, </w:t>
      </w:r>
      <w:proofErr w:type="spellStart"/>
      <w:r w:rsidRPr="002D76EA">
        <w:t>Teregganu</w:t>
      </w:r>
      <w:proofErr w:type="spellEnd"/>
      <w:r w:rsidRPr="002D76EA">
        <w:t>, Malaysia.</w:t>
      </w:r>
      <w:bookmarkStart w:id="3" w:name="_Ref441658914"/>
      <w:r w:rsidRPr="002D76EA">
        <w:rPr>
          <w:rStyle w:val="FootnoteReference"/>
        </w:rPr>
        <w:footnoteReference w:id="12"/>
      </w:r>
      <w:bookmarkEnd w:id="3"/>
      <w:r w:rsidRPr="002D76EA">
        <w:t xml:space="preserve"> Some of the victims were working for the contractor servicing the GPP, Hyundai-PFCE Consortium.</w:t>
      </w:r>
      <w:r w:rsidRPr="002D76EA">
        <w:rPr>
          <w:rStyle w:val="FootnoteReference"/>
        </w:rPr>
        <w:footnoteReference w:id="13"/>
      </w:r>
    </w:p>
    <w:p w:rsidR="002D76EA" w:rsidRPr="002D76EA" w:rsidRDefault="002D76EA" w:rsidP="002D76EA">
      <w:pPr>
        <w:pStyle w:val="Default"/>
        <w:spacing w:line="360" w:lineRule="auto"/>
        <w:jc w:val="both"/>
        <w:rPr>
          <w:color w:val="auto"/>
        </w:rPr>
      </w:pPr>
      <w:r w:rsidRPr="002D76EA">
        <w:rPr>
          <w:color w:val="auto"/>
        </w:rPr>
        <w:t>It is important to note that injuries to personnel and severe damage to property may result in very large losses for the project participants. Redressing the financial consequences of such risks can be very costly</w:t>
      </w:r>
      <w:r w:rsidRPr="002D76EA">
        <w:rPr>
          <w:rStyle w:val="FootnoteReference"/>
          <w:rFonts w:eastAsia="Times New Roman,ＭＳ ゴシック"/>
          <w:color w:val="auto"/>
        </w:rPr>
        <w:footnoteReference w:id="14"/>
      </w:r>
      <w:r w:rsidRPr="002D76EA">
        <w:rPr>
          <w:color w:val="auto"/>
        </w:rPr>
        <w:t xml:space="preserve"> and may cause significant financial </w:t>
      </w:r>
      <w:r w:rsidRPr="002D76EA">
        <w:rPr>
          <w:noProof/>
          <w:color w:val="auto"/>
        </w:rPr>
        <w:t>setbacks</w:t>
      </w:r>
      <w:r w:rsidRPr="002D76EA">
        <w:rPr>
          <w:color w:val="auto"/>
        </w:rPr>
        <w:t xml:space="preserve"> to a business.</w:t>
      </w:r>
      <w:r w:rsidRPr="002D76EA">
        <w:rPr>
          <w:rStyle w:val="FootnoteReference"/>
          <w:rFonts w:eastAsia="Times New Roman,ＭＳ ゴシック"/>
          <w:color w:val="auto"/>
        </w:rPr>
        <w:footnoteReference w:id="15"/>
      </w:r>
      <w:r w:rsidRPr="002D76EA">
        <w:rPr>
          <w:color w:val="auto"/>
        </w:rPr>
        <w:t xml:space="preserve"> Industry players usually undertake various measures and practices to manage the risks in order to reduce the exposure. Risk allocation in the industry may be achieved by setting out contractual clauses which declare which party will be liable for (or exempted from) a given risk and to what extent, and enables the risk to be allocated between the parties in advance.</w:t>
      </w:r>
      <w:r w:rsidRPr="002D76EA">
        <w:rPr>
          <w:rStyle w:val="FootnoteReference"/>
          <w:rFonts w:eastAsia="Times New Roman,ＭＳ ゴシック"/>
          <w:color w:val="auto"/>
        </w:rPr>
        <w:footnoteReference w:id="16"/>
      </w:r>
      <w:r w:rsidRPr="002D76EA">
        <w:rPr>
          <w:color w:val="auto"/>
          <w:position w:val="10"/>
          <w:vertAlign w:val="superscript"/>
        </w:rPr>
        <w:t xml:space="preserve"> </w:t>
      </w:r>
      <w:r w:rsidRPr="002D76EA">
        <w:rPr>
          <w:color w:val="auto"/>
          <w:lang w:val="en-US"/>
        </w:rPr>
        <w:t xml:space="preserve">The allocation of their respective shares of liability in such events is typically carried out </w:t>
      </w:r>
      <w:r w:rsidRPr="002D76EA">
        <w:rPr>
          <w:color w:val="auto"/>
          <w:lang w:val="en-US"/>
        </w:rPr>
        <w:lastRenderedPageBreak/>
        <w:t>under standard industry contracts, which have been established over many years.</w:t>
      </w:r>
      <w:bookmarkStart w:id="4" w:name="_Ref420687568"/>
      <w:r w:rsidRPr="002D76EA">
        <w:rPr>
          <w:rStyle w:val="FootnoteReference"/>
          <w:rFonts w:eastAsia="Times New Roman,ＭＳ ゴシック"/>
          <w:color w:val="auto"/>
          <w:lang w:val="en-US"/>
        </w:rPr>
        <w:footnoteReference w:id="17"/>
      </w:r>
      <w:bookmarkEnd w:id="4"/>
      <w:r w:rsidRPr="002D76EA">
        <w:rPr>
          <w:color w:val="auto"/>
          <w:lang w:val="en-US"/>
        </w:rPr>
        <w:t xml:space="preserve"> Until the </w:t>
      </w:r>
      <w:proofErr w:type="spellStart"/>
      <w:r w:rsidRPr="002D76EA">
        <w:rPr>
          <w:color w:val="auto"/>
          <w:lang w:val="en-US"/>
        </w:rPr>
        <w:t>Macondo</w:t>
      </w:r>
      <w:proofErr w:type="spellEnd"/>
      <w:r w:rsidRPr="002D76EA">
        <w:rPr>
          <w:color w:val="auto"/>
          <w:lang w:val="en-US"/>
        </w:rPr>
        <w:t xml:space="preserve"> oil spill in the Gulf of Mexico in 2010, these standard models of liability allocation have been largely non-contested, and where reviewed before the courts, have been held to be enforceable.</w:t>
      </w:r>
      <w:bookmarkStart w:id="5" w:name="_Ref315240206"/>
      <w:r w:rsidRPr="002D76EA">
        <w:rPr>
          <w:rStyle w:val="FootnoteReference"/>
          <w:rFonts w:eastAsia="Times New Roman,ＭＳ ゴシック"/>
          <w:color w:val="auto"/>
          <w:lang w:val="en-US"/>
        </w:rPr>
        <w:footnoteReference w:id="18"/>
      </w:r>
      <w:bookmarkEnd w:id="5"/>
      <w:r w:rsidRPr="002D76EA">
        <w:rPr>
          <w:color w:val="auto"/>
          <w:lang w:val="en-US"/>
        </w:rPr>
        <w:t xml:space="preserve"> Nonetheless, after </w:t>
      </w:r>
      <w:proofErr w:type="spellStart"/>
      <w:r w:rsidRPr="002D76EA">
        <w:rPr>
          <w:color w:val="auto"/>
          <w:lang w:val="en-US"/>
        </w:rPr>
        <w:t>Macondo</w:t>
      </w:r>
      <w:proofErr w:type="spellEnd"/>
      <w:r w:rsidRPr="002D76EA">
        <w:rPr>
          <w:color w:val="auto"/>
          <w:lang w:val="en-US"/>
        </w:rPr>
        <w:t>, ‘operators in a wide variety of settings have begun to challenge the traditional allocation of liability or imposed changes to the risk allocation and attempt to negotiate contracts which apportion more liability to contractors in the event of a catastrophic incident.’</w:t>
      </w:r>
      <w:bookmarkStart w:id="6" w:name="_Ref433282446"/>
      <w:r w:rsidRPr="002D76EA">
        <w:rPr>
          <w:rStyle w:val="FootnoteReference"/>
          <w:rFonts w:eastAsia="Times New Roman,ＭＳ ゴシック"/>
          <w:color w:val="auto"/>
          <w:lang w:val="en-US"/>
        </w:rPr>
        <w:footnoteReference w:id="19"/>
      </w:r>
      <w:bookmarkEnd w:id="6"/>
      <w:r w:rsidRPr="002D76EA">
        <w:rPr>
          <w:color w:val="auto"/>
          <w:lang w:val="en-US"/>
        </w:rPr>
        <w:t xml:space="preserve"> Making a different assessment, the insurance industry does not anticipate that contractors will take what</w:t>
      </w:r>
      <w:r w:rsidRPr="002D76EA">
        <w:rPr>
          <w:color w:val="auto"/>
          <w:spacing w:val="19"/>
          <w:lang w:val="en-US"/>
        </w:rPr>
        <w:t xml:space="preserve"> </w:t>
      </w:r>
      <w:r w:rsidRPr="002D76EA">
        <w:rPr>
          <w:color w:val="auto"/>
          <w:lang w:val="en-US"/>
        </w:rPr>
        <w:t>is</w:t>
      </w:r>
      <w:r w:rsidRPr="002D76EA">
        <w:rPr>
          <w:color w:val="auto"/>
          <w:spacing w:val="19"/>
          <w:lang w:val="en-US"/>
        </w:rPr>
        <w:t xml:space="preserve"> </w:t>
      </w:r>
      <w:r w:rsidRPr="002D76EA">
        <w:rPr>
          <w:color w:val="auto"/>
          <w:lang w:val="en-US"/>
        </w:rPr>
        <w:t>regarded</w:t>
      </w:r>
      <w:r w:rsidRPr="002D76EA">
        <w:rPr>
          <w:color w:val="auto"/>
          <w:spacing w:val="19"/>
          <w:lang w:val="en-US"/>
        </w:rPr>
        <w:t xml:space="preserve"> </w:t>
      </w:r>
      <w:r w:rsidRPr="002D76EA">
        <w:rPr>
          <w:color w:val="auto"/>
          <w:lang w:val="en-US"/>
        </w:rPr>
        <w:t>as</w:t>
      </w:r>
      <w:r w:rsidRPr="002D76EA">
        <w:rPr>
          <w:color w:val="auto"/>
          <w:spacing w:val="19"/>
          <w:lang w:val="en-US"/>
        </w:rPr>
        <w:t xml:space="preserve"> </w:t>
      </w:r>
      <w:r w:rsidRPr="002D76EA">
        <w:rPr>
          <w:color w:val="auto"/>
          <w:lang w:val="en-US"/>
        </w:rPr>
        <w:t>an</w:t>
      </w:r>
      <w:r w:rsidRPr="002D76EA">
        <w:rPr>
          <w:color w:val="auto"/>
          <w:spacing w:val="19"/>
          <w:lang w:val="en-US"/>
        </w:rPr>
        <w:t xml:space="preserve"> </w:t>
      </w:r>
      <w:r w:rsidRPr="002D76EA">
        <w:rPr>
          <w:color w:val="auto"/>
          <w:lang w:val="en-US"/>
        </w:rPr>
        <w:t>operators’</w:t>
      </w:r>
      <w:r w:rsidRPr="002D76EA">
        <w:rPr>
          <w:color w:val="auto"/>
          <w:spacing w:val="19"/>
          <w:lang w:val="en-US"/>
        </w:rPr>
        <w:t xml:space="preserve"> </w:t>
      </w:r>
      <w:r w:rsidRPr="002D76EA">
        <w:rPr>
          <w:color w:val="auto"/>
          <w:lang w:val="en-US"/>
        </w:rPr>
        <w:t>risk,</w:t>
      </w:r>
      <w:r w:rsidRPr="002D76EA">
        <w:rPr>
          <w:color w:val="auto"/>
          <w:spacing w:val="-8"/>
          <w:lang w:val="en-US"/>
        </w:rPr>
        <w:t xml:space="preserve"> </w:t>
      </w:r>
      <w:r w:rsidRPr="002D76EA">
        <w:rPr>
          <w:color w:val="auto"/>
          <w:lang w:val="en-US"/>
        </w:rPr>
        <w:t>nor</w:t>
      </w:r>
      <w:r w:rsidRPr="002D76EA">
        <w:rPr>
          <w:color w:val="auto"/>
          <w:spacing w:val="-8"/>
          <w:lang w:val="en-US"/>
        </w:rPr>
        <w:t xml:space="preserve"> </w:t>
      </w:r>
      <w:r w:rsidRPr="002D76EA">
        <w:rPr>
          <w:color w:val="auto"/>
          <w:lang w:val="en-US"/>
        </w:rPr>
        <w:t>does</w:t>
      </w:r>
      <w:r w:rsidRPr="002D76EA">
        <w:rPr>
          <w:color w:val="auto"/>
          <w:spacing w:val="-8"/>
          <w:lang w:val="en-US"/>
        </w:rPr>
        <w:t xml:space="preserve"> </w:t>
      </w:r>
      <w:r w:rsidRPr="002D76EA">
        <w:rPr>
          <w:color w:val="auto"/>
          <w:lang w:val="en-US"/>
        </w:rPr>
        <w:t>it</w:t>
      </w:r>
      <w:r w:rsidRPr="002D76EA">
        <w:rPr>
          <w:color w:val="auto"/>
          <w:spacing w:val="-8"/>
          <w:lang w:val="en-US"/>
        </w:rPr>
        <w:t xml:space="preserve"> believe the post-</w:t>
      </w:r>
      <w:proofErr w:type="spellStart"/>
      <w:r w:rsidRPr="002D76EA">
        <w:rPr>
          <w:color w:val="auto"/>
          <w:spacing w:val="-8"/>
          <w:lang w:val="en-US"/>
        </w:rPr>
        <w:t>Macondo</w:t>
      </w:r>
      <w:proofErr w:type="spellEnd"/>
      <w:r w:rsidRPr="002D76EA">
        <w:rPr>
          <w:color w:val="auto"/>
          <w:spacing w:val="-8"/>
          <w:lang w:val="en-US"/>
        </w:rPr>
        <w:t xml:space="preserve"> risk allocation </w:t>
      </w:r>
      <w:r w:rsidRPr="002D76EA">
        <w:rPr>
          <w:color w:val="auto"/>
          <w:lang w:val="en-US"/>
        </w:rPr>
        <w:t>accommodates</w:t>
      </w:r>
      <w:r w:rsidRPr="002D76EA">
        <w:rPr>
          <w:color w:val="auto"/>
          <w:spacing w:val="-8"/>
          <w:lang w:val="en-US"/>
        </w:rPr>
        <w:t xml:space="preserve"> </w:t>
      </w:r>
      <w:r w:rsidRPr="002D76EA">
        <w:rPr>
          <w:color w:val="auto"/>
          <w:lang w:val="en-US"/>
        </w:rPr>
        <w:t>for</w:t>
      </w:r>
      <w:r w:rsidRPr="002D76EA">
        <w:rPr>
          <w:color w:val="auto"/>
          <w:spacing w:val="-8"/>
          <w:lang w:val="en-US"/>
        </w:rPr>
        <w:t xml:space="preserve"> </w:t>
      </w:r>
      <w:r w:rsidRPr="002D76EA">
        <w:rPr>
          <w:color w:val="auto"/>
          <w:lang w:val="en-US"/>
        </w:rPr>
        <w:t>the eventualities</w:t>
      </w:r>
      <w:r w:rsidRPr="002D76EA">
        <w:rPr>
          <w:color w:val="auto"/>
          <w:spacing w:val="20"/>
          <w:lang w:val="en-US"/>
        </w:rPr>
        <w:t xml:space="preserve"> </w:t>
      </w:r>
      <w:r w:rsidRPr="002D76EA">
        <w:rPr>
          <w:color w:val="auto"/>
          <w:lang w:val="en-US"/>
        </w:rPr>
        <w:t>pertaining to</w:t>
      </w:r>
      <w:r w:rsidRPr="002D76EA">
        <w:rPr>
          <w:color w:val="auto"/>
          <w:spacing w:val="21"/>
          <w:lang w:val="en-US"/>
        </w:rPr>
        <w:t xml:space="preserve"> </w:t>
      </w:r>
      <w:r w:rsidRPr="002D76EA">
        <w:rPr>
          <w:color w:val="auto"/>
          <w:lang w:val="en-US"/>
        </w:rPr>
        <w:t>contractor</w:t>
      </w:r>
      <w:r w:rsidRPr="002D76EA">
        <w:rPr>
          <w:color w:val="auto"/>
          <w:spacing w:val="20"/>
          <w:lang w:val="en-US"/>
        </w:rPr>
        <w:t xml:space="preserve"> </w:t>
      </w:r>
      <w:r w:rsidRPr="002D76EA">
        <w:rPr>
          <w:color w:val="auto"/>
          <w:lang w:val="en-US"/>
        </w:rPr>
        <w:t>liabilit</w:t>
      </w:r>
      <w:r w:rsidRPr="002D76EA">
        <w:rPr>
          <w:color w:val="auto"/>
          <w:spacing w:val="-14"/>
          <w:lang w:val="en-US"/>
        </w:rPr>
        <w:t>y</w:t>
      </w:r>
      <w:r w:rsidRPr="002D76EA">
        <w:rPr>
          <w:color w:val="auto"/>
          <w:lang w:val="en-US"/>
        </w:rPr>
        <w:t>.</w:t>
      </w:r>
      <w:r w:rsidRPr="002D76EA">
        <w:rPr>
          <w:rStyle w:val="FootnoteReference"/>
          <w:rFonts w:eastAsia="Times New Roman,ＭＳ ゴシック"/>
          <w:color w:val="auto"/>
          <w:lang w:val="en-US"/>
        </w:rPr>
        <w:footnoteReference w:id="20"/>
      </w:r>
      <w:r w:rsidRPr="002D76EA">
        <w:rPr>
          <w:color w:val="auto"/>
          <w:lang w:val="en-US"/>
        </w:rPr>
        <w:t xml:space="preserve"> Therefore, the insurance industry does not support this change in risk allocation. Moreover, </w:t>
      </w:r>
      <w:r w:rsidRPr="002D76EA">
        <w:rPr>
          <w:color w:val="auto"/>
        </w:rPr>
        <w:t xml:space="preserve">such uneven risk allocation may cause significant financial setbacks to the contractors. </w:t>
      </w:r>
    </w:p>
    <w:p w:rsidR="002D76EA" w:rsidRPr="002D76EA" w:rsidRDefault="002D76EA" w:rsidP="002D76EA">
      <w:pPr>
        <w:pStyle w:val="Default"/>
        <w:spacing w:line="360" w:lineRule="auto"/>
        <w:jc w:val="both"/>
        <w:rPr>
          <w:color w:val="auto"/>
        </w:rPr>
      </w:pPr>
    </w:p>
    <w:p w:rsidR="002D76EA" w:rsidRPr="002D76EA" w:rsidRDefault="002D76EA" w:rsidP="002D76EA">
      <w:pPr>
        <w:pStyle w:val="Default"/>
        <w:spacing w:line="360" w:lineRule="auto"/>
        <w:jc w:val="both"/>
        <w:rPr>
          <w:color w:val="auto"/>
        </w:rPr>
      </w:pPr>
      <w:r w:rsidRPr="002D76EA">
        <w:rPr>
          <w:color w:val="auto"/>
        </w:rPr>
        <w:t xml:space="preserve">Aside from that, the dominant position of the operator, as well as the existence of a </w:t>
      </w:r>
      <w:r w:rsidRPr="002D76EA">
        <w:rPr>
          <w:color w:val="auto"/>
          <w:lang w:val="en-US"/>
        </w:rPr>
        <w:t>national oil company (</w:t>
      </w:r>
      <w:proofErr w:type="spellStart"/>
      <w:r w:rsidRPr="002D76EA">
        <w:rPr>
          <w:color w:val="auto"/>
          <w:lang w:val="en-US"/>
        </w:rPr>
        <w:t>Petronas</w:t>
      </w:r>
      <w:proofErr w:type="spellEnd"/>
      <w:r w:rsidRPr="002D76EA">
        <w:rPr>
          <w:color w:val="auto"/>
          <w:lang w:val="en-US"/>
        </w:rPr>
        <w:t>) and its Production Sharing Contractors, has implications for allocation of liability under the oilfield contracts.</w:t>
      </w:r>
      <w:bookmarkStart w:id="7" w:name="_Ref433282115"/>
      <w:r w:rsidRPr="002D76EA">
        <w:rPr>
          <w:rStyle w:val="FootnoteReference"/>
          <w:rFonts w:eastAsia="Times New Roman,ＭＳ ゴシック"/>
          <w:color w:val="auto"/>
          <w:lang w:val="en-US"/>
        </w:rPr>
        <w:footnoteReference w:id="21"/>
      </w:r>
      <w:bookmarkEnd w:id="7"/>
      <w:r w:rsidRPr="002D76EA">
        <w:rPr>
          <w:color w:val="auto"/>
          <w:lang w:val="en-US"/>
        </w:rPr>
        <w:t xml:space="preserve"> The reason for this is that the greater bargaining power of these operators compared to contractors in a weaker position in the oil and gas industry allows them to assume that they can impose whatever conditions they wish.</w:t>
      </w:r>
      <w:bookmarkStart w:id="8" w:name="_Ref433281959"/>
      <w:r w:rsidRPr="002D76EA">
        <w:rPr>
          <w:rStyle w:val="FootnoteReference"/>
          <w:rFonts w:eastAsia="Times New Roman,ＭＳ ゴシック"/>
          <w:color w:val="auto"/>
          <w:lang w:val="en-US"/>
        </w:rPr>
        <w:footnoteReference w:id="22"/>
      </w:r>
      <w:bookmarkEnd w:id="8"/>
      <w:r w:rsidRPr="002D76EA">
        <w:rPr>
          <w:color w:val="auto"/>
          <w:lang w:val="en-US"/>
        </w:rPr>
        <w:t xml:space="preserve"> In addition, m</w:t>
      </w:r>
      <w:proofErr w:type="spellStart"/>
      <w:r w:rsidRPr="002D76EA">
        <w:rPr>
          <w:color w:val="auto"/>
        </w:rPr>
        <w:t>ost</w:t>
      </w:r>
      <w:proofErr w:type="spellEnd"/>
      <w:r w:rsidRPr="002D76EA">
        <w:rPr>
          <w:color w:val="auto"/>
        </w:rPr>
        <w:t xml:space="preserve"> standard forms of oilfield service contracts used in Malaysia are developed and maintained by operators. Therefore, they tend to be less balanced where risk allocation and fairness of the contractual terms and conditions are concerned.</w:t>
      </w:r>
    </w:p>
    <w:p w:rsidR="002D76EA" w:rsidRPr="002D76EA" w:rsidRDefault="002D76EA" w:rsidP="002D76EA">
      <w:pPr>
        <w:autoSpaceDE w:val="0"/>
        <w:autoSpaceDN w:val="0"/>
        <w:adjustRightInd w:val="0"/>
        <w:spacing w:line="360" w:lineRule="auto"/>
        <w:jc w:val="both"/>
      </w:pPr>
    </w:p>
    <w:p w:rsidR="002D76EA" w:rsidRPr="002D76EA" w:rsidRDefault="002D76EA" w:rsidP="002D76EA">
      <w:pPr>
        <w:spacing w:line="360" w:lineRule="auto"/>
        <w:jc w:val="both"/>
      </w:pPr>
      <w:r w:rsidRPr="002D76EA">
        <w:t>It could be argued that the lack of national legislation in this field or in an international convention is the principal source of the above-mentioned problem.</w:t>
      </w:r>
      <w:r w:rsidRPr="002D76EA">
        <w:rPr>
          <w:rStyle w:val="FootnoteReference"/>
        </w:rPr>
        <w:footnoteReference w:id="23"/>
      </w:r>
      <w:r w:rsidRPr="002D76EA">
        <w:t xml:space="preserve"> Without any regulation, contractors could find themselves in a situation where they have no ability to fully mitigate the risk and in which they have no full operational control and decision-making powers.</w:t>
      </w:r>
      <w:r w:rsidRPr="002D76EA">
        <w:rPr>
          <w:rStyle w:val="FootnoteReference"/>
        </w:rPr>
        <w:footnoteReference w:id="24"/>
      </w:r>
      <w:r w:rsidRPr="002D76EA">
        <w:t xml:space="preserve"> Therefore, this research recommends the enactment of certain legal mechanisms that would guide or even require operators to adhere to the established industry practice. In other words, the Malaysian authorities should pass an appropriate piece of legislation to govern the loss and liability of the project participants in relation to the risk allocation for oil and gas projects. The significance of this study is to achieve fairness with regard to contractual risk allocation between the operator and contractor.</w:t>
      </w:r>
    </w:p>
    <w:p w:rsidR="002D76EA" w:rsidRPr="002D76EA" w:rsidRDefault="002D76EA" w:rsidP="002D76EA">
      <w:pPr>
        <w:spacing w:line="360" w:lineRule="auto"/>
        <w:jc w:val="both"/>
        <w:rPr>
          <w:b/>
        </w:rPr>
      </w:pPr>
    </w:p>
    <w:p w:rsidR="008226E0" w:rsidRPr="002D76EA" w:rsidRDefault="008226E0" w:rsidP="002D76EA">
      <w:pPr>
        <w:spacing w:line="360" w:lineRule="auto"/>
        <w:jc w:val="both"/>
        <w:rPr>
          <w:b/>
        </w:rPr>
      </w:pPr>
      <w:r w:rsidRPr="002D76EA">
        <w:rPr>
          <w:b/>
        </w:rPr>
        <w:t>Objectives:</w:t>
      </w:r>
    </w:p>
    <w:p w:rsidR="002D76EA" w:rsidRPr="002D76EA" w:rsidRDefault="002D76EA" w:rsidP="002D76EA">
      <w:pPr>
        <w:pStyle w:val="ListParagraph"/>
        <w:numPr>
          <w:ilvl w:val="0"/>
          <w:numId w:val="33"/>
        </w:numPr>
        <w:spacing w:line="360" w:lineRule="auto"/>
        <w:ind w:left="662" w:hanging="283"/>
        <w:contextualSpacing/>
        <w:jc w:val="both"/>
      </w:pPr>
      <w:r w:rsidRPr="002D76EA">
        <w:t>To identify the actual phenomenon which leads to the problem of imbalanced risk allocation and unfair indemnity and hold harmless clauses in oilfield service contracts in Malaysia.</w:t>
      </w:r>
    </w:p>
    <w:p w:rsidR="002D76EA" w:rsidRPr="002D76EA" w:rsidRDefault="002D76EA" w:rsidP="002D76EA">
      <w:pPr>
        <w:pStyle w:val="ListParagraph"/>
        <w:numPr>
          <w:ilvl w:val="0"/>
          <w:numId w:val="33"/>
        </w:numPr>
        <w:spacing w:line="360" w:lineRule="auto"/>
        <w:ind w:left="662" w:hanging="283"/>
        <w:contextualSpacing/>
        <w:jc w:val="both"/>
      </w:pPr>
      <w:r w:rsidRPr="002D76EA">
        <w:t>To examine the legal and regulatory framework with regards to risk allocation and indemnity and hold harmless clauses in oilfield service contracts in Malaysia.</w:t>
      </w:r>
    </w:p>
    <w:p w:rsidR="002D76EA" w:rsidRPr="002D76EA" w:rsidRDefault="002D76EA" w:rsidP="002D76EA">
      <w:pPr>
        <w:pStyle w:val="ListParagraph"/>
        <w:numPr>
          <w:ilvl w:val="0"/>
          <w:numId w:val="33"/>
        </w:numPr>
        <w:spacing w:line="360" w:lineRule="auto"/>
        <w:ind w:left="662"/>
        <w:contextualSpacing/>
        <w:jc w:val="both"/>
      </w:pPr>
      <w:r w:rsidRPr="002D76EA">
        <w:t xml:space="preserve">To recommend a legal and regulatory framework, </w:t>
      </w:r>
      <w:proofErr w:type="gramStart"/>
      <w:r w:rsidRPr="002D76EA">
        <w:rPr>
          <w:noProof/>
        </w:rPr>
        <w:t>which provides</w:t>
      </w:r>
      <w:r w:rsidRPr="002D76EA">
        <w:t xml:space="preserve"> solutions and alternatives to the issue of imbalanced risk allocation and unfair indemnity and hold harmless clauses in oilfield service contracts in Malaysia.</w:t>
      </w:r>
      <w:proofErr w:type="gramEnd"/>
      <w:r w:rsidRPr="002D76EA">
        <w:t xml:space="preserve"> </w:t>
      </w:r>
    </w:p>
    <w:p w:rsidR="002D76EA" w:rsidRPr="002D76EA" w:rsidRDefault="002D76EA" w:rsidP="002D76EA">
      <w:pPr>
        <w:spacing w:line="360" w:lineRule="auto"/>
        <w:jc w:val="both"/>
        <w:rPr>
          <w:b/>
        </w:rPr>
      </w:pPr>
    </w:p>
    <w:p w:rsidR="008226E0" w:rsidRPr="002D76EA" w:rsidRDefault="008226E0" w:rsidP="002D76EA">
      <w:pPr>
        <w:spacing w:line="360" w:lineRule="auto"/>
        <w:jc w:val="both"/>
        <w:rPr>
          <w:b/>
        </w:rPr>
      </w:pPr>
      <w:r w:rsidRPr="002D76EA">
        <w:rPr>
          <w:b/>
        </w:rPr>
        <w:t>Methodology:</w:t>
      </w:r>
    </w:p>
    <w:p w:rsidR="000842F3" w:rsidRPr="002D76EA" w:rsidRDefault="000842F3" w:rsidP="002D76EA">
      <w:pPr>
        <w:spacing w:line="360" w:lineRule="auto"/>
        <w:jc w:val="both"/>
        <w:rPr>
          <w:i/>
          <w:iCs/>
          <w:color w:val="000000"/>
        </w:rPr>
      </w:pPr>
      <w:r w:rsidRPr="002D76EA">
        <w:rPr>
          <w:color w:val="000000"/>
        </w:rPr>
        <w:t xml:space="preserve">A qualitative research methodology will be used in this research. The qualitative method adopted combines two research designs. Since the research contains a case study, it engages in “empirical legal scholarship”. The purpose of the empirical study is to investigate the prevalence of inequality of bargaining power in the relationship between operators and contractors. The empirical study also explores how risk is allocated between the parties. The empirical evidence illustrates the reality of commercial practice in contractual negotiations in the oil and gas industry in Malaysia. In conducting the empirical study, semi-structured interviews were conducted with the key players in the Malaysian oil and gas industry. This research </w:t>
      </w:r>
      <w:proofErr w:type="spellStart"/>
      <w:r w:rsidRPr="002D76EA">
        <w:rPr>
          <w:color w:val="000000"/>
        </w:rPr>
        <w:t>organised</w:t>
      </w:r>
      <w:proofErr w:type="spellEnd"/>
      <w:r w:rsidRPr="002D76EA">
        <w:rPr>
          <w:color w:val="000000"/>
        </w:rPr>
        <w:t xml:space="preserve"> the interviewees into two categories. The first category included oil </w:t>
      </w:r>
      <w:r w:rsidRPr="002D76EA">
        <w:rPr>
          <w:color w:val="000000"/>
        </w:rPr>
        <w:lastRenderedPageBreak/>
        <w:t>operating companies. The second category of interviewees included service contractors from different companies. This research in addition adopts a traditional approach to doctrinal legal study. This approach is adopted because it allows for an analysis of judicial interpretation of the law as well as the statutory legislation itself. Such an analysis leads to a more comprehensive and systematic methodology of exploring the instrumental and normative flaws of the laws.</w:t>
      </w:r>
      <w:r w:rsidRPr="002D76EA">
        <w:rPr>
          <w:i/>
          <w:iCs/>
          <w:color w:val="000000"/>
        </w:rPr>
        <w:t xml:space="preserve"> </w:t>
      </w:r>
    </w:p>
    <w:p w:rsidR="002D76EA" w:rsidRPr="002D76EA" w:rsidRDefault="002D76EA" w:rsidP="002D76EA">
      <w:pPr>
        <w:spacing w:line="360" w:lineRule="auto"/>
        <w:jc w:val="both"/>
        <w:rPr>
          <w:color w:val="000000"/>
        </w:rPr>
      </w:pPr>
    </w:p>
    <w:p w:rsidR="000842F3" w:rsidRPr="002D76EA" w:rsidRDefault="000842F3" w:rsidP="002D76EA">
      <w:pPr>
        <w:spacing w:line="360" w:lineRule="auto"/>
        <w:jc w:val="both"/>
        <w:rPr>
          <w:color w:val="000000"/>
        </w:rPr>
      </w:pPr>
      <w:r w:rsidRPr="002D76EA">
        <w:rPr>
          <w:color w:val="000000"/>
        </w:rPr>
        <w:t>In order to determine the benchmark by which to judge whether a clause is fair or unfair in the Malaysian legal system, it is necessary to engage in a comparative analysis of the UK and the US jurisdictions. Such comparative analysis would allow this research to determine which approach would be the most appropriate for the Malaysian oil and gas industry. Special reference will be made to the practice in the UK and the US. Regarding the judicial interpretation and statutory legislation relevant to risk allocation and indemnity and hold harmless clauses in the oilfield service contracts under both jurisdictions.</w:t>
      </w:r>
      <w:r w:rsidRPr="002D76EA">
        <w:rPr>
          <w:i/>
          <w:iCs/>
          <w:color w:val="000000"/>
        </w:rPr>
        <w:t xml:space="preserve"> </w:t>
      </w:r>
      <w:r w:rsidRPr="002D76EA">
        <w:rPr>
          <w:color w:val="000000"/>
        </w:rPr>
        <w:t>These jurisdictions are chosen because of their frequent use as the ‘applicable law’ governing international oil and gas contracts. Furthermore, a</w:t>
      </w:r>
      <w:r w:rsidRPr="002D76EA">
        <w:rPr>
          <w:i/>
          <w:iCs/>
          <w:color w:val="000000"/>
        </w:rPr>
        <w:t xml:space="preserve"> </w:t>
      </w:r>
      <w:r w:rsidRPr="002D76EA">
        <w:rPr>
          <w:color w:val="000000"/>
        </w:rPr>
        <w:t xml:space="preserve">comparison of the practice in these two legal regimes with the Malaysian system presents an opportunity to make an original contribution to legal scholarship. This is because such comparative analysis produces original research dealing with the subject of imbalanced risk allocation and unfair indemnity and hold harmless clauses in oilfield service contracts in Malaysia, the UK and USA. To the author’s knowledge, this has not been studied previously. </w:t>
      </w:r>
    </w:p>
    <w:p w:rsidR="002D76EA" w:rsidRPr="002D76EA" w:rsidRDefault="002D76EA" w:rsidP="002D76EA">
      <w:pPr>
        <w:spacing w:line="360" w:lineRule="auto"/>
        <w:jc w:val="both"/>
        <w:rPr>
          <w:color w:val="000000"/>
        </w:rPr>
      </w:pPr>
    </w:p>
    <w:p w:rsidR="000842F3" w:rsidRPr="002D76EA" w:rsidRDefault="000842F3" w:rsidP="002D76EA">
      <w:pPr>
        <w:spacing w:line="360" w:lineRule="auto"/>
        <w:jc w:val="both"/>
        <w:rPr>
          <w:b/>
        </w:rPr>
      </w:pPr>
      <w:r w:rsidRPr="002D76EA">
        <w:rPr>
          <w:color w:val="000000"/>
        </w:rPr>
        <w:t>The doctrinal analysis is based on a mix of primary and secondary data, which is taken from several sources.</w:t>
      </w:r>
      <w:r w:rsidRPr="002D76EA">
        <w:rPr>
          <w:i/>
          <w:iCs/>
          <w:color w:val="000000"/>
        </w:rPr>
        <w:t xml:space="preserve"> </w:t>
      </w:r>
      <w:r w:rsidRPr="002D76EA">
        <w:rPr>
          <w:color w:val="000000"/>
        </w:rPr>
        <w:t xml:space="preserve">Primary sources of data will be the case laws of the respective jurisdictions, as well as, the statutory laws, which include but are not limited to the Malaysian Contracts Act 1950, the UK Contract (Rights of Third Parties) Act 1999, the Texas Oilfield Anti-Indemnity Act and the Louisiana Oilfield Anti-Indemnity Act. Secondary sources of data are textbooks, journals, newspaper articles and online databases such as Lexis-Nexis, </w:t>
      </w:r>
      <w:proofErr w:type="spellStart"/>
      <w:r w:rsidRPr="002D76EA">
        <w:rPr>
          <w:color w:val="000000"/>
        </w:rPr>
        <w:t>HeinOnline</w:t>
      </w:r>
      <w:proofErr w:type="spellEnd"/>
      <w:r w:rsidRPr="002D76EA">
        <w:rPr>
          <w:color w:val="000000"/>
        </w:rPr>
        <w:t>, Westlaw and others.</w:t>
      </w:r>
    </w:p>
    <w:p w:rsidR="000842F3" w:rsidRPr="002D76EA" w:rsidRDefault="000842F3" w:rsidP="002D76EA">
      <w:pPr>
        <w:spacing w:line="360" w:lineRule="auto"/>
        <w:jc w:val="both"/>
        <w:rPr>
          <w:b/>
        </w:rPr>
      </w:pPr>
    </w:p>
    <w:p w:rsidR="008226E0" w:rsidRPr="002D76EA" w:rsidRDefault="008226E0" w:rsidP="002D76EA">
      <w:pPr>
        <w:spacing w:line="360" w:lineRule="auto"/>
        <w:jc w:val="both"/>
        <w:rPr>
          <w:b/>
        </w:rPr>
      </w:pPr>
      <w:r w:rsidRPr="002D76EA">
        <w:rPr>
          <w:b/>
        </w:rPr>
        <w:t>Findings:</w:t>
      </w:r>
    </w:p>
    <w:p w:rsidR="002D76EA" w:rsidRPr="002D76EA" w:rsidRDefault="002D76EA" w:rsidP="002D76EA">
      <w:pPr>
        <w:spacing w:line="360" w:lineRule="auto"/>
        <w:jc w:val="both"/>
        <w:rPr>
          <w:b/>
        </w:rPr>
      </w:pPr>
      <w:r w:rsidRPr="002D76EA">
        <w:rPr>
          <w:color w:val="000000"/>
        </w:rPr>
        <w:t>It is argued that a special regulation should be implemented in Malaysia to combat unfair risk allocation in the oilfield service contracts between the operators and the contractors.</w:t>
      </w:r>
    </w:p>
    <w:p w:rsidR="002D76EA" w:rsidRPr="002D76EA" w:rsidRDefault="002D76EA" w:rsidP="002D76EA">
      <w:pPr>
        <w:spacing w:line="360" w:lineRule="auto"/>
        <w:jc w:val="both"/>
        <w:rPr>
          <w:b/>
        </w:rPr>
      </w:pPr>
    </w:p>
    <w:p w:rsidR="008226E0" w:rsidRPr="002D76EA" w:rsidRDefault="008226E0" w:rsidP="002D76EA">
      <w:pPr>
        <w:spacing w:line="360" w:lineRule="auto"/>
        <w:jc w:val="both"/>
        <w:rPr>
          <w:b/>
        </w:rPr>
      </w:pPr>
      <w:r w:rsidRPr="002D76EA">
        <w:rPr>
          <w:b/>
        </w:rPr>
        <w:t>Conclusion:</w:t>
      </w:r>
    </w:p>
    <w:p w:rsidR="002D76EA" w:rsidRPr="002D76EA" w:rsidRDefault="002D76EA" w:rsidP="002D76EA">
      <w:pPr>
        <w:spacing w:line="360" w:lineRule="auto"/>
        <w:jc w:val="both"/>
        <w:rPr>
          <w:b/>
        </w:rPr>
      </w:pPr>
      <w:r w:rsidRPr="002D76EA">
        <w:rPr>
          <w:color w:val="000000"/>
        </w:rPr>
        <w:t>A special regulation, such as, Oilfield Anti-Indemnity Act should be passed by the Parliament to resolve the issue of unbalanced indemnity and unfair risk allocation in oilfield service contracts in Malaysia.</w:t>
      </w:r>
    </w:p>
    <w:p w:rsidR="000842F3" w:rsidRPr="002D76EA" w:rsidRDefault="000842F3" w:rsidP="002D76EA">
      <w:pPr>
        <w:spacing w:line="360" w:lineRule="auto"/>
        <w:jc w:val="both"/>
        <w:rPr>
          <w:b/>
        </w:rPr>
      </w:pPr>
    </w:p>
    <w:p w:rsidR="00F449A6" w:rsidRPr="002D76EA" w:rsidRDefault="00F449A6" w:rsidP="002D76EA">
      <w:pPr>
        <w:spacing w:line="360" w:lineRule="auto"/>
        <w:jc w:val="both"/>
        <w:rPr>
          <w:b/>
        </w:rPr>
      </w:pPr>
      <w:r w:rsidRPr="002D76EA">
        <w:rPr>
          <w:b/>
        </w:rPr>
        <w:t>Output:</w:t>
      </w:r>
    </w:p>
    <w:p w:rsidR="002D76EA" w:rsidRPr="002D76EA" w:rsidRDefault="002D76EA" w:rsidP="002D76EA">
      <w:pPr>
        <w:numPr>
          <w:ilvl w:val="0"/>
          <w:numId w:val="30"/>
        </w:numPr>
        <w:spacing w:line="360" w:lineRule="auto"/>
        <w:jc w:val="both"/>
      </w:pPr>
      <w:r w:rsidRPr="002D76EA">
        <w:rPr>
          <w:b/>
        </w:rPr>
        <w:t xml:space="preserve">Publications </w:t>
      </w:r>
      <w:r w:rsidRPr="002D76EA">
        <w:rPr>
          <w:b/>
        </w:rPr>
        <w:tab/>
      </w:r>
      <w:r w:rsidRPr="002D76EA">
        <w:rPr>
          <w:b/>
        </w:rPr>
        <w:tab/>
      </w:r>
    </w:p>
    <w:p w:rsidR="002D76EA" w:rsidRPr="002D76EA" w:rsidRDefault="002D76EA" w:rsidP="002D76EA">
      <w:pPr>
        <w:pStyle w:val="Default"/>
        <w:numPr>
          <w:ilvl w:val="0"/>
          <w:numId w:val="32"/>
        </w:numPr>
        <w:spacing w:line="360" w:lineRule="auto"/>
        <w:jc w:val="both"/>
        <w:rPr>
          <w:b/>
          <w:bCs/>
        </w:rPr>
      </w:pPr>
      <w:r w:rsidRPr="002D76EA">
        <w:rPr>
          <w:b/>
          <w:bCs/>
        </w:rPr>
        <w:t xml:space="preserve">Perception of Contractual Risk Allocation in the Oil and Gas Contracts in Malaysia,  </w:t>
      </w:r>
      <w:r w:rsidRPr="002D76EA">
        <w:rPr>
          <w:b/>
          <w:bCs/>
          <w:i/>
        </w:rPr>
        <w:t>International Journal of Trade &amp; Global - IJTGM (Scopus Indexed),</w:t>
      </w:r>
      <w:r w:rsidRPr="002D76EA">
        <w:rPr>
          <w:b/>
          <w:bCs/>
        </w:rPr>
        <w:t xml:space="preserve"> 2017</w:t>
      </w:r>
    </w:p>
    <w:p w:rsidR="002D76EA" w:rsidRPr="002D76EA" w:rsidRDefault="002D76EA" w:rsidP="002D76EA">
      <w:pPr>
        <w:pStyle w:val="Default"/>
        <w:numPr>
          <w:ilvl w:val="0"/>
          <w:numId w:val="32"/>
        </w:numPr>
        <w:spacing w:line="360" w:lineRule="auto"/>
        <w:jc w:val="both"/>
        <w:rPr>
          <w:b/>
          <w:bCs/>
        </w:rPr>
      </w:pPr>
      <w:r w:rsidRPr="002D76EA">
        <w:rPr>
          <w:b/>
          <w:bCs/>
        </w:rPr>
        <w:t xml:space="preserve">Alternative Dispute Resolution (ADR) in Oil and Gas Industry in Malaysia – A New Legal Framework, </w:t>
      </w:r>
      <w:r w:rsidRPr="002D76EA">
        <w:rPr>
          <w:b/>
        </w:rPr>
        <w:t xml:space="preserve"> </w:t>
      </w:r>
      <w:r w:rsidRPr="002D76EA">
        <w:rPr>
          <w:b/>
          <w:i/>
          <w:iCs/>
        </w:rPr>
        <w:t>Advanced Science Letter (Scopus Indexed),</w:t>
      </w:r>
      <w:r w:rsidRPr="002D76EA">
        <w:rPr>
          <w:b/>
          <w:iCs/>
        </w:rPr>
        <w:t xml:space="preserve"> 2017</w:t>
      </w:r>
    </w:p>
    <w:p w:rsidR="002D76EA" w:rsidRPr="002D76EA" w:rsidRDefault="002D76EA" w:rsidP="002D76EA">
      <w:pPr>
        <w:pStyle w:val="Default"/>
        <w:numPr>
          <w:ilvl w:val="0"/>
          <w:numId w:val="32"/>
        </w:numPr>
        <w:spacing w:line="360" w:lineRule="auto"/>
        <w:jc w:val="both"/>
        <w:rPr>
          <w:b/>
          <w:bCs/>
        </w:rPr>
      </w:pPr>
      <w:r w:rsidRPr="002D76EA">
        <w:rPr>
          <w:b/>
          <w:iCs/>
        </w:rPr>
        <w:t xml:space="preserve">A comparative analysis on the enforceability of knock-for- knock indemnities in Thailand and the United Kingdom, </w:t>
      </w:r>
      <w:r w:rsidRPr="002D76EA">
        <w:rPr>
          <w:b/>
        </w:rPr>
        <w:t>Journal of Malaysian and Comparative Law, 44 (1). pp. 33-42. ISSN 0126-6322 – (Era Indexed)</w:t>
      </w:r>
    </w:p>
    <w:p w:rsidR="000842F3" w:rsidRPr="002D76EA" w:rsidRDefault="000842F3" w:rsidP="002D76EA">
      <w:pPr>
        <w:spacing w:line="360" w:lineRule="auto"/>
        <w:jc w:val="both"/>
        <w:rPr>
          <w:b/>
        </w:rPr>
      </w:pPr>
    </w:p>
    <w:p w:rsidR="008226E0" w:rsidRPr="002D76EA" w:rsidRDefault="008226E0" w:rsidP="002D76EA">
      <w:pPr>
        <w:spacing w:line="360" w:lineRule="auto"/>
        <w:ind w:firstLine="142"/>
        <w:jc w:val="both"/>
        <w:rPr>
          <w:b/>
        </w:rPr>
      </w:pPr>
      <w:r w:rsidRPr="002D76EA">
        <w:rPr>
          <w:b/>
        </w:rPr>
        <w:t>Future Plan of the research:</w:t>
      </w:r>
    </w:p>
    <w:p w:rsidR="002D76EA" w:rsidRPr="002D76EA" w:rsidRDefault="002D76EA" w:rsidP="002D76EA">
      <w:pPr>
        <w:spacing w:line="360" w:lineRule="auto"/>
        <w:ind w:left="142"/>
        <w:jc w:val="both"/>
      </w:pPr>
      <w:r w:rsidRPr="002D76EA">
        <w:t xml:space="preserve">There are several areas for future research in relation to unfair risk allocation and imbalanced indemnity and hold harmless clauses in oilfield service contracts in Malaysia. </w:t>
      </w:r>
    </w:p>
    <w:p w:rsidR="002D76EA" w:rsidRPr="002D76EA" w:rsidRDefault="002D76EA" w:rsidP="002D76EA">
      <w:pPr>
        <w:spacing w:line="360" w:lineRule="auto"/>
        <w:ind w:left="142"/>
        <w:jc w:val="both"/>
      </w:pPr>
      <w:r w:rsidRPr="002D76EA">
        <w:t xml:space="preserve">Firstly, it is necessary to conduct a study on the aspects of Malaysian law which are currently insufficient to support the existing legal framework on risk allocation in oilfield service contracts. For instance, it is essential to research the need to establish a legal framework on mandatory insurance requirements for indemnity and hold harmless clauses in the Malaysian oil and gas legal regime. The research would highlight insurance as an efficient risk management tool in allocating the risk. Secondly, in respect of comparative analysis for future research, it is suggested the scope of discussion could be expanded to other jurisdictions. For example, it will be interesting to explore Norwegian law because that country adopts the knock-for-knock indemnity approach to governing oilfield service contracts. </w:t>
      </w:r>
      <w:r>
        <w:t xml:space="preserve"> </w:t>
      </w:r>
      <w:r w:rsidRPr="002D76EA">
        <w:t xml:space="preserve">Finally, in view of the importance of environmental awareness, further research could be carried out on the impact of </w:t>
      </w:r>
      <w:proofErr w:type="spellStart"/>
      <w:r w:rsidRPr="002D76EA">
        <w:t>Macondo</w:t>
      </w:r>
      <w:proofErr w:type="spellEnd"/>
      <w:r w:rsidRPr="002D76EA">
        <w:t xml:space="preserve">, such as a study on the reports of the Oil Spill Prevention and Response Advisory Group </w:t>
      </w:r>
      <w:proofErr w:type="gramStart"/>
      <w:r w:rsidRPr="002D76EA">
        <w:t>(OSPRAG).</w:t>
      </w:r>
      <w:proofErr w:type="gramEnd"/>
      <w:r w:rsidRPr="002D76EA">
        <w:t xml:space="preserve"> The research would </w:t>
      </w:r>
      <w:proofErr w:type="spellStart"/>
      <w:r w:rsidRPr="002D76EA">
        <w:t>analyse</w:t>
      </w:r>
      <w:proofErr w:type="spellEnd"/>
      <w:r w:rsidRPr="002D76EA">
        <w:t xml:space="preserve"> the OSPRAG report in the light of the environmental regulation regime in Malaysia.</w:t>
      </w:r>
    </w:p>
    <w:p w:rsidR="002D76EA" w:rsidRPr="002D76EA" w:rsidRDefault="002D76EA" w:rsidP="002D76EA">
      <w:pPr>
        <w:spacing w:line="360" w:lineRule="auto"/>
        <w:jc w:val="both"/>
      </w:pPr>
      <w:r w:rsidRPr="002D76EA">
        <w:lastRenderedPageBreak/>
        <w:br w:type="page"/>
      </w:r>
    </w:p>
    <w:p w:rsidR="002D76EA" w:rsidRPr="002D76EA" w:rsidRDefault="002D76EA" w:rsidP="002D76EA">
      <w:pPr>
        <w:spacing w:line="360" w:lineRule="auto"/>
        <w:ind w:firstLine="142"/>
        <w:jc w:val="both"/>
        <w:rPr>
          <w:b/>
        </w:rPr>
      </w:pPr>
    </w:p>
    <w:p w:rsidR="000842F3" w:rsidRPr="002D76EA" w:rsidRDefault="000842F3" w:rsidP="002D76EA">
      <w:pPr>
        <w:spacing w:line="360" w:lineRule="auto"/>
        <w:jc w:val="both"/>
        <w:rPr>
          <w:b/>
        </w:rPr>
      </w:pPr>
    </w:p>
    <w:p w:rsidR="008226E0" w:rsidRPr="002D76EA" w:rsidRDefault="00E40FBA" w:rsidP="002D76EA">
      <w:pPr>
        <w:spacing w:line="360" w:lineRule="auto"/>
        <w:ind w:firstLine="142"/>
        <w:jc w:val="both"/>
        <w:rPr>
          <w:b/>
        </w:rPr>
      </w:pPr>
      <w:r w:rsidRPr="002D76EA">
        <w:rPr>
          <w:b/>
        </w:rPr>
        <w:t>References</w:t>
      </w:r>
      <w:r w:rsidR="008226E0" w:rsidRPr="002D76EA">
        <w:rPr>
          <w:b/>
        </w:rPr>
        <w:t>:</w:t>
      </w:r>
    </w:p>
    <w:p w:rsidR="000842F3" w:rsidRPr="002D76EA" w:rsidRDefault="000842F3" w:rsidP="002D76EA">
      <w:pPr>
        <w:spacing w:line="360" w:lineRule="auto"/>
        <w:ind w:left="142" w:hanging="142"/>
        <w:jc w:val="both"/>
      </w:pPr>
      <w:r w:rsidRPr="002D76EA">
        <w:tab/>
      </w:r>
      <w:r w:rsidRPr="002D76EA">
        <w:fldChar w:fldCharType="begin" w:fldLock="1"/>
      </w:r>
      <w:r w:rsidRPr="002D76EA">
        <w:instrText>ADDIN CSL_CITATION { "citationItems" : [ { "id" : "ITEM-1", "itemData" : { "author" : [ { "dropping-particle" : "", "family" : "Martin", "given" : "A Timothy", "non-dropping-particle" : "", "parse-names" : false, "suffix" : "" } ], "container-title" : "J.Energy &amp; Nat.Resources L.", "id" : "ITEM-1", "issued" : { "date-parts" : [ [ "2004" ] ] }, "page" : "281", "publisher" : "HeinOnline", "title" : "Model Contracts: A Survey of the Global Petroleum Industry", "type" : "article-journal", "volume" : "22" }, "locator" : "333", "uris" : [ "http://www.mendeley.com/documents/?uuid=55c47d03-5f76-4b57-a618-c64dd3ff1095" ] } ], "mendeley" : { "formattedCitation" : "A Timothy Martin, \u2018Model Contracts: A Survey of the Global Petroleum Industry\u2019 (2004) 22 J.Energy &amp; Nat.Resources L. 281, 333.", "plainTextFormattedCitation" : "A Timothy Martin, \u2018Model Contracts: A Survey of the Global Petroleum Industry\u2019 (2004) 22 J.Energy &amp; Nat.Resources L. 281, 333.", "previouslyFormattedCitation" : "A Timothy Martin, \u2018Model Contracts: A Survey of the Global Petroleum Industry\u2019 (2004) 22 J.Energy &amp; Nat.Resources L. 281, 333." }, "properties" : { "noteIndex" : 0 }, "schema" : "https://github.com/citation-style-language/schema/raw/master/csl-citation.json" }</w:instrText>
      </w:r>
      <w:r w:rsidRPr="002D76EA">
        <w:fldChar w:fldCharType="separate"/>
      </w:r>
      <w:r w:rsidRPr="002D76EA">
        <w:rPr>
          <w:noProof/>
        </w:rPr>
        <w:t>A Timothy Martin, ‘Model Contracts: A Survey of the Global Petroleum Industry’ (2004) 22 J.Energy &amp; Nat.Resources L. 281, 333.</w:t>
      </w:r>
      <w:r w:rsidRPr="002D76EA">
        <w:fldChar w:fldCharType="end"/>
      </w:r>
    </w:p>
    <w:p w:rsidR="000842F3" w:rsidRPr="002D76EA" w:rsidRDefault="000842F3" w:rsidP="002D76EA">
      <w:pPr>
        <w:spacing w:line="360" w:lineRule="auto"/>
        <w:ind w:left="142" w:hanging="142"/>
        <w:jc w:val="both"/>
      </w:pPr>
    </w:p>
    <w:p w:rsidR="000842F3" w:rsidRPr="002D76EA" w:rsidRDefault="000842F3" w:rsidP="002D76EA">
      <w:pPr>
        <w:spacing w:line="360" w:lineRule="auto"/>
        <w:ind w:left="142" w:hanging="142"/>
        <w:jc w:val="both"/>
      </w:pPr>
      <w:r w:rsidRPr="002D76EA">
        <w:tab/>
      </w:r>
      <w:r w:rsidRPr="002D76EA">
        <w:fldChar w:fldCharType="begin" w:fldLock="1"/>
      </w:r>
      <w:r w:rsidRPr="002D76EA">
        <w:instrText>ADDIN CSL_CITATION { "citationItems" : [ { "id" : "ITEM-1", "itemData" : { "author" : [ { "dropping-particle" : "", "family" : "Patson Wilbroad", "given" : "Arinaitwe", "non-dropping-particle" : "", "parse-names" : false, "suffix" : "" } ], "id" : "ITEM-1", "issued" : { "date-parts" : [ [ "2014" ] ] }, "publisher" : "LAP Lambert Academic Publishing", "title" : "Risk Allocation in Oil and Gas Service Contracts", "type" : "book" }, "locator" : "54", "uris" : [ "http://www.mendeley.com/documents/?uuid=95873390-ca93-48a7-a2ea-9f15d3fb37dc" ] } ], "mendeley" : { "formattedCitation" : "Arinaitwe Patson Wilbroad, &lt;i&gt;Risk Allocation in Oil and Gas Service Contracts&lt;/i&gt; (LAP Lambert Academic Publishing 2014) 54.", "plainTextFormattedCitation" : "Arinaitwe Patson Wilbroad, Risk Allocation in Oil and Gas Service Contracts (LAP Lambert Academic Publishing 2014) 54.", "previouslyFormattedCitation" : "Arinaitwe Patson Wilbroad, &lt;i&gt;Risk Allocation in Oil and Gas Service Contracts&lt;/i&gt; (LAP Lambert Academic Publishing 2014) 54." }, "properties" : { "noteIndex" : 0 }, "schema" : "https://github.com/citation-style-language/schema/raw/master/csl-citation.json" }</w:instrText>
      </w:r>
      <w:r w:rsidRPr="002D76EA">
        <w:fldChar w:fldCharType="separate"/>
      </w:r>
      <w:proofErr w:type="spellStart"/>
      <w:r w:rsidRPr="002D76EA">
        <w:t>Arinaitwe</w:t>
      </w:r>
      <w:proofErr w:type="spellEnd"/>
      <w:r w:rsidRPr="002D76EA">
        <w:t xml:space="preserve"> </w:t>
      </w:r>
      <w:proofErr w:type="spellStart"/>
      <w:r w:rsidRPr="002D76EA">
        <w:t>Patson</w:t>
      </w:r>
      <w:proofErr w:type="spellEnd"/>
      <w:r w:rsidRPr="002D76EA">
        <w:t xml:space="preserve"> </w:t>
      </w:r>
      <w:proofErr w:type="spellStart"/>
      <w:r w:rsidRPr="002D76EA">
        <w:t>Wilbroad</w:t>
      </w:r>
      <w:proofErr w:type="spellEnd"/>
      <w:r w:rsidRPr="002D76EA">
        <w:t>, Risk Allocation in Oil and Gas Service Contracts (LAP Lambert Academic Publishing 2014) 54.</w:t>
      </w:r>
      <w:r w:rsidRPr="002D76EA">
        <w:fldChar w:fldCharType="end"/>
      </w:r>
      <w:r w:rsidRPr="002D76EA">
        <w:t xml:space="preserve"> </w:t>
      </w:r>
    </w:p>
    <w:p w:rsidR="000842F3" w:rsidRPr="002D76EA" w:rsidRDefault="000842F3" w:rsidP="002D76EA">
      <w:pPr>
        <w:spacing w:line="360" w:lineRule="auto"/>
        <w:ind w:left="142" w:hanging="142"/>
        <w:jc w:val="both"/>
      </w:pPr>
    </w:p>
    <w:p w:rsidR="000842F3" w:rsidRPr="002D76EA" w:rsidRDefault="000842F3" w:rsidP="002D76EA">
      <w:pPr>
        <w:spacing w:line="360" w:lineRule="auto"/>
        <w:ind w:left="142" w:hanging="142"/>
        <w:jc w:val="both"/>
      </w:pPr>
      <w:r w:rsidRPr="002D76EA">
        <w:tab/>
      </w:r>
      <w:r w:rsidRPr="002D76EA">
        <w:fldChar w:fldCharType="begin" w:fldLock="1"/>
      </w:r>
      <w:r w:rsidRPr="002D76EA">
        <w:instrText>ADDIN CSL_CITATION { "citationItems" : [ { "id" : "ITEM-1", "itemData" : { "author" : [ { "dropping-particle" : "", "family" : "Moomjian", "given" : "Cary A", "non-dropping-particle" : "", "parse-names" : false, "suffix" : "" } ], "container-title" : "IADC/SPE Drilling Conference and Exhibition on 7th March 2012 in San Diego, California, USA", "id" : "ITEM-1", "issued" : { "date-parts" : [ [ "2012" ] ] }, "publisher" : "Society of Petroleum Engineers", "title" : "Drilling Contract Historical Development and Future Trends Post-Macondo: Reflections on a 35 Year Industry Career", "type" : "paper-conference" }, "locator" : "9", "uris" : [ "http://www.mendeley.com/documents/?uuid=62f57bdc-3411-4a21-8aa1-666c932c29a9" ] } ], "mendeley" : { "formattedCitation" : "Cary A Moomjian, \u2018Drilling Contract Historical Development and Future Trends Post-Macondo: Reflections on a 35 Year Industry Career\u2019, &lt;i&gt;IADC/SPE Drilling Conference and Exhibition on 7th March 2012 in San Diego, California, USA&lt;/i&gt; (Society of Petroleum Engineers 2012) 9 &lt;http://www.drillingcontractor.org/wp-content/uploads/2012/04/Drilling-Contract-Historical-Development-and-Future-Trends-Post-Macondo.pdf&gt;.", "plainTextFormattedCitation" : "Cary A Moomjian, \u2018Drilling Contract Historical Development and Future Trends Post-Macondo: Reflections on a 35 Year Industry Career\u2019, IADC/SPE Drilling Conference and Exhibition on 7th March 2012 in San Diego, California, USA (Society of Petroleum Engineers 2012) 9 .", "previouslyFormattedCitation" : "Cary A Moomjian, \u2018Drilling Contract Historical Development and Future Trends Post-Macondo: Reflections on a 35 Year Industry Career\u2019, &lt;i&gt;IADC/SPE Drilling Conference and Exhibition on 7th March 2012 in San Diego, California, USA&lt;/i&gt; (Society of Petroleum Engineers 2012) 9 &lt;http://www.drillingcontractor.org/wp-content/uploads/2012/04/Drilling-Contract-Historical-Development-and-Future-Trends-Post-Macondo.pdf&gt;." }, "properties" : { "noteIndex" : 0 }, "schema" : "https://github.com/citation-style-language/schema/raw/master/csl-citation.json" }</w:instrText>
      </w:r>
      <w:r w:rsidRPr="002D76EA">
        <w:fldChar w:fldCharType="separate"/>
      </w:r>
      <w:r w:rsidRPr="002D76EA">
        <w:t xml:space="preserve">Cary A </w:t>
      </w:r>
      <w:proofErr w:type="spellStart"/>
      <w:r w:rsidRPr="002D76EA">
        <w:t>Moomjian</w:t>
      </w:r>
      <w:proofErr w:type="spellEnd"/>
      <w:r w:rsidRPr="002D76EA">
        <w:t>, ‘Drilling Contract Historical Development and Future Trends Post-</w:t>
      </w:r>
      <w:proofErr w:type="spellStart"/>
      <w:r w:rsidRPr="002D76EA">
        <w:t>Macondo</w:t>
      </w:r>
      <w:proofErr w:type="spellEnd"/>
      <w:r w:rsidRPr="002D76EA">
        <w:t>: Reflections on a 35 Year Industry Career’, IADC/SPE Drilling Conference and Exhibition on 7th March 2012 in San Diego, California, USA (Society of Petroleum Engineers 2012) 9 &lt;http://www.drillingcontractor.org/wp-content/uploads/2012/04/Drilling-Contract-Historical-Development-and-Future-Trends-Post-Macondo.pdf&gt;.</w:t>
      </w:r>
      <w:r w:rsidRPr="002D76EA">
        <w:fldChar w:fldCharType="end"/>
      </w:r>
    </w:p>
    <w:p w:rsidR="000842F3" w:rsidRPr="002D76EA" w:rsidRDefault="000842F3" w:rsidP="002D76EA">
      <w:pPr>
        <w:spacing w:line="360" w:lineRule="auto"/>
        <w:ind w:left="142" w:hanging="142"/>
        <w:jc w:val="both"/>
      </w:pPr>
    </w:p>
    <w:p w:rsidR="000842F3" w:rsidRPr="002D76EA" w:rsidRDefault="000842F3" w:rsidP="002D76EA">
      <w:pPr>
        <w:spacing w:line="360" w:lineRule="auto"/>
        <w:ind w:left="142" w:hanging="142"/>
        <w:jc w:val="both"/>
      </w:pPr>
      <w:r w:rsidRPr="002D76EA">
        <w:tab/>
      </w:r>
      <w:r w:rsidRPr="002D76EA">
        <w:fldChar w:fldCharType="begin" w:fldLock="1"/>
      </w:r>
      <w:r w:rsidRPr="002D76EA">
        <w:instrText>ADDIN CSL_CITATION { "citationItems" : [ { "id" : "ITEM-1", "itemData" : { "author" : [ { "dropping-particle" : "", "family" : "Thorpe", "given" : "Chris", "non-dropping-particle" : "", "parse-names" : false, "suffix" : "" } ], "id" : "ITEM-1", "issued" : { "date-parts" : [ [ "2008" ] ] }, "number-of-pages" : "282", "publisher" : "C P Thorpe Ltd", "title" : "Fundamentals of Upstream Petroleum Agreements", "type" : "book" }, "locator" : "282", "uris" : [ "http://www.mendeley.com/documents/?uuid=c3caf850-a526-4760-82c3-c7336e0e653a" ] } ], "mendeley" : { "formattedCitation" : "Chris Thorpe, &lt;i&gt;Fundamentals of Upstream Petroleum Agreements&lt;/i&gt; (C P Thorpe Ltd 2008) 282.", "manualFormatting" : "Chris Thorpe, Fundamentals of Upstream Petroleum Agreements (C P Thorpe Ltd 2008) 282", "plainTextFormattedCitation" : "Chris Thorpe, Fundamentals of Upstream Petroleum Agreements (C P Thorpe Ltd 2008) 282.", "previouslyFormattedCitation" : "Chris Thorpe, &lt;i&gt;Fundamentals of Upstream Petroleum Agreements&lt;/i&gt; (C P Thorpe Ltd 2008) 282." }, "properties" : { "noteIndex" : 0 }, "schema" : "https://github.com/citation-style-language/schema/raw/master/csl-citation.json" }</w:instrText>
      </w:r>
      <w:r w:rsidRPr="002D76EA">
        <w:fldChar w:fldCharType="separate"/>
      </w:r>
      <w:proofErr w:type="gramStart"/>
      <w:r w:rsidRPr="002D76EA">
        <w:t>Chris Thorpe, Fundamentals of Upstream Petroleum Agreements (C P Thorpe Ltd 2008) 282</w:t>
      </w:r>
      <w:r w:rsidRPr="002D76EA">
        <w:fldChar w:fldCharType="end"/>
      </w:r>
      <w:r w:rsidRPr="002D76EA">
        <w:t>.</w:t>
      </w:r>
      <w:proofErr w:type="gramEnd"/>
    </w:p>
    <w:p w:rsidR="000842F3" w:rsidRPr="002D76EA" w:rsidRDefault="000842F3" w:rsidP="002D76EA">
      <w:pPr>
        <w:spacing w:line="360" w:lineRule="auto"/>
        <w:ind w:left="142" w:hanging="142"/>
        <w:jc w:val="both"/>
      </w:pPr>
    </w:p>
    <w:p w:rsidR="000842F3" w:rsidRPr="002D76EA" w:rsidRDefault="000842F3" w:rsidP="002D76EA">
      <w:pPr>
        <w:spacing w:line="360" w:lineRule="auto"/>
        <w:ind w:left="142"/>
        <w:jc w:val="both"/>
      </w:pPr>
      <w:r w:rsidRPr="002D76EA">
        <w:t xml:space="preserve">Dennis </w:t>
      </w:r>
      <w:proofErr w:type="spellStart"/>
      <w:r w:rsidRPr="002D76EA">
        <w:t>Culligan</w:t>
      </w:r>
      <w:proofErr w:type="spellEnd"/>
      <w:r w:rsidRPr="002D76EA">
        <w:t xml:space="preserve"> and Barbara de </w:t>
      </w:r>
      <w:proofErr w:type="spellStart"/>
      <w:r w:rsidRPr="002D76EA">
        <w:t>Roo</w:t>
      </w:r>
      <w:proofErr w:type="spellEnd"/>
      <w:r w:rsidRPr="002D76EA">
        <w:t>, ‘Risk Allocation Future Prospects’, Proceedings of the IMCA Contracts &amp; Insurance Seminar: Allocation of Risk in the Current Challenging Market on 19th May 2015 in London, UK (International Marine Contractors Association (IMCA) 2015).</w:t>
      </w:r>
    </w:p>
    <w:p w:rsidR="000842F3" w:rsidRPr="002D76EA" w:rsidRDefault="000842F3" w:rsidP="002D76EA">
      <w:pPr>
        <w:spacing w:line="360" w:lineRule="auto"/>
        <w:ind w:left="142"/>
        <w:jc w:val="both"/>
      </w:pPr>
    </w:p>
    <w:p w:rsidR="000842F3" w:rsidRPr="002D76EA" w:rsidRDefault="000842F3" w:rsidP="002D76EA">
      <w:pPr>
        <w:spacing w:line="360" w:lineRule="auto"/>
        <w:ind w:left="142" w:hanging="142"/>
        <w:jc w:val="both"/>
      </w:pPr>
      <w:r w:rsidRPr="002D76EA">
        <w:tab/>
      </w:r>
      <w:r w:rsidRPr="002D76EA">
        <w:fldChar w:fldCharType="begin" w:fldLock="1"/>
      </w:r>
      <w:r w:rsidRPr="002D76EA">
        <w:instrText>ADDIN CSL_CITATION { "citationItems" : [ { "id" : "ITEM-1", "itemData" : { "URL" : "http://maritime.bernama.com/news.php?id=683332&amp;lang=en", "accessed" : { "date-parts" : [ [ "2013", "12", "5" ] ] }, "container-title" : "BERNAMA", "id" : "ITEM-1", "issued" : { "date-parts" : [ [ "2012", "7", "26" ] ] }, "title" : "Fire On MISC Tanker Claims One Life", "type" : "webpage" }, "uris" : [ "http://www.mendeley.com/documents/?uuid=7289a4da-aead-34f9-9664-849935085f5b" ] } ], "mendeley" : { "formattedCitation" : "\u2018Fire On MISC Tanker Claims One Life\u2019 (&lt;i&gt;BERNAMA&lt;/i&gt;, 26 July 2012) &lt;http://maritime.bernama.com/news.php?id=683332&amp;lang=en&gt; accessed 5 December 2013.", "plainTextFormattedCitation" : "\u2018Fire On MISC Tanker Claims One Life\u2019 (BERNAMA, 26 July 2012)  accessed 5 December 2013.", "previouslyFormattedCitation" : "\u2018Fire On MISC Tanker Claims One Life\u2019 (&lt;i&gt;BERNAMA&lt;/i&gt;, 26 July 2012) &lt;http://maritime.bernama.com/news.php?id=683332&amp;lang=en&gt; accessed 5 December 2013." }, "properties" : { "noteIndex" : 0 }, "schema" : "https://github.com/citation-style-language/schema/raw/master/csl-citation.json" }</w:instrText>
      </w:r>
      <w:r w:rsidRPr="002D76EA">
        <w:fldChar w:fldCharType="separate"/>
      </w:r>
      <w:r w:rsidRPr="002D76EA">
        <w:t xml:space="preserve">‘Fire </w:t>
      </w:r>
      <w:proofErr w:type="gramStart"/>
      <w:r w:rsidRPr="002D76EA">
        <w:t>On</w:t>
      </w:r>
      <w:proofErr w:type="gramEnd"/>
      <w:r w:rsidRPr="002D76EA">
        <w:t xml:space="preserve"> MISC Tanker Claims One Life’ (BERNAMA, 26 July 2012) &lt;http://maritime.bernama.com/news.php?id=683332&amp;lang=en&gt; accessed 5 December 2013.</w:t>
      </w:r>
      <w:r w:rsidRPr="002D76EA">
        <w:fldChar w:fldCharType="end"/>
      </w:r>
    </w:p>
    <w:p w:rsidR="000842F3" w:rsidRPr="002D76EA" w:rsidRDefault="000842F3" w:rsidP="002D76EA">
      <w:pPr>
        <w:spacing w:line="360" w:lineRule="auto"/>
        <w:ind w:left="142" w:hanging="142"/>
        <w:jc w:val="both"/>
      </w:pPr>
    </w:p>
    <w:p w:rsidR="000842F3" w:rsidRPr="002D76EA" w:rsidRDefault="000842F3" w:rsidP="002D76EA">
      <w:pPr>
        <w:spacing w:line="360" w:lineRule="auto"/>
        <w:ind w:left="142" w:hanging="142"/>
        <w:jc w:val="both"/>
      </w:pPr>
      <w:r w:rsidRPr="002D76EA">
        <w:tab/>
      </w:r>
      <w:r w:rsidRPr="002D76EA">
        <w:fldChar w:fldCharType="begin" w:fldLock="1"/>
      </w:r>
      <w:r w:rsidRPr="002D76EA">
        <w:instrText>ADDIN CSL_CITATION { "citationItems" : [ { "id" : "ITEM-1", "itemData" : { "container-title" : "Offshore Energy Today ", "id" : "ITEM-1", "issued" : { "date-parts" : [ [ "2012", "6", "12" ] ] }, "title" : "Five Workers Injured in Fire Outbreak on Petronas Offshore Platform (Malaysia)", "type" : "article-newspaper" }, "suffix" : "accessed on 25 October 2013", "uris" : [ "http://www.mendeley.com/documents/?uuid=7d05a635-4f27-345a-89c3-3bbfbb4c6a42" ] } ], "mendeley" : { "formattedCitation" : "\u2018Five Workers Injured in Fire Outbreak on Petronas Offshore Platform (Malaysia)\u2019 &lt;i&gt;Offshore Energy Today &lt;/i&gt; (12 June 2012) &lt;http://www.offshoreenergytoday.com/five-workers-injured-in-fire-outbreak-on-petronas-offshore-platform-malaysia/&gt; accessed on 25 October 2013.", "plainTextFormattedCitation" : "\u2018Five Workers Injured in Fire Outbreak on Petronas Offshore Platform (Malaysia)\u2019 Offshore Energy Today  (12 June 2012)  accessed on 25 October 2013.", "previouslyFormattedCitation" : "\u2018Five Workers Injured in Fire Outbreak on Petronas Offshore Platform (Malaysia)\u2019 &lt;i&gt;Offshore Energy Today &lt;/i&gt; (12 June 2012) &lt;http://www.offshoreenergytoday.com/five-workers-injured-in-fire-outbreak-on-petronas-offshore-platform-malaysia/&gt; accessed on 25 October 2013." }, "properties" : { "noteIndex" : 0 }, "schema" : "https://github.com/citation-style-language/schema/raw/master/csl-citation.json" }</w:instrText>
      </w:r>
      <w:r w:rsidRPr="002D76EA">
        <w:fldChar w:fldCharType="separate"/>
      </w:r>
      <w:r w:rsidRPr="002D76EA">
        <w:t xml:space="preserve">‘Five Workers Injured in Fire Outbreak on </w:t>
      </w:r>
      <w:proofErr w:type="spellStart"/>
      <w:r w:rsidRPr="002D76EA">
        <w:t>Petronas</w:t>
      </w:r>
      <w:proofErr w:type="spellEnd"/>
      <w:r w:rsidRPr="002D76EA">
        <w:t xml:space="preserve"> Offshore Platform (Malaysia)’ Offshore Energy </w:t>
      </w:r>
      <w:proofErr w:type="gramStart"/>
      <w:r w:rsidRPr="002D76EA">
        <w:t>Today  (</w:t>
      </w:r>
      <w:proofErr w:type="gramEnd"/>
      <w:r w:rsidRPr="002D76EA">
        <w:t>12 June 2012) &lt;http://www.offshoreenergytoday.com/five-workers-injured-in-fire-outbreak-on-petronas-offshore-platform-malaysia/&gt; accessed on 25 October 2013.</w:t>
      </w:r>
      <w:r w:rsidRPr="002D76EA">
        <w:fldChar w:fldCharType="end"/>
      </w:r>
    </w:p>
    <w:p w:rsidR="000842F3" w:rsidRPr="002D76EA" w:rsidRDefault="000842F3" w:rsidP="002D76EA">
      <w:pPr>
        <w:spacing w:line="360" w:lineRule="auto"/>
        <w:ind w:left="142" w:hanging="142"/>
        <w:jc w:val="both"/>
      </w:pPr>
    </w:p>
    <w:p w:rsidR="000842F3" w:rsidRPr="002D76EA" w:rsidRDefault="000842F3" w:rsidP="002D76EA">
      <w:pPr>
        <w:spacing w:line="360" w:lineRule="auto"/>
        <w:ind w:left="142" w:hanging="142"/>
        <w:jc w:val="both"/>
      </w:pPr>
      <w:r w:rsidRPr="002D76EA">
        <w:lastRenderedPageBreak/>
        <w:tab/>
      </w:r>
      <w:r w:rsidRPr="002D76EA">
        <w:fldChar w:fldCharType="begin" w:fldLock="1"/>
      </w:r>
      <w:r w:rsidRPr="002D76EA">
        <w:instrText>ADDIN CSL_CITATION { "citationItems" : [ { "id" : "ITEM-1", "itemData" : { "author" : [ { "dropping-particle" : "", "family" : "Zolkepli", "given" : "Farik", "non-dropping-particle" : "", "parse-names" : false, "suffix" : "" } ], "container-title" : "The Star", "id" : "ITEM-1", "issued" : { "date-parts" : [ [ "2012", "5", "11" ] ] }, "title" : "Worker Killed and 23 Hurt in Gas Plant Blast", "type" : "article-newspaper" }, "suffix" : "accessed on 25 October 2013", "uris" : [ "http://www.mendeley.com/documents/?uuid=9cfefe04-219e-3f59-8de4-cdec0153c1ed" ] } ], "mendeley" : { "formattedCitation" : "Farik Zolkepli, \u2018Worker Killed and 23 Hurt in Gas Plant Blast\u2019 &lt;i&gt;The Star&lt;/i&gt; (11 May 2012) &lt;http://www.thestar.com.my/News/Nation/2012/05/11/Worker-killed-and-23-hurt-in-gas-plant-blast/&gt; accessed on 25 October 2013.", "plainTextFormattedCitation" : "Farik Zolkepli, \u2018Worker Killed and 23 Hurt in Gas Plant Blast\u2019 The Star (11 May 2012)  accessed on 25 October 2013.", "previouslyFormattedCitation" : "Farik Zolkepli, \u2018Worker Killed and 23 Hurt in Gas Plant Blast\u2019 &lt;i&gt;The Star&lt;/i&gt; (11 May 2012) &lt;http://www.thestar.com.my/News/Nation/2012/05/11/Worker-killed-and-23-hurt-in-gas-plant-blast/&gt; accessed on 25 October 2013." }, "properties" : { "noteIndex" : 0 }, "schema" : "https://github.com/citation-style-language/schema/raw/master/csl-citation.json" }</w:instrText>
      </w:r>
      <w:r w:rsidRPr="002D76EA">
        <w:fldChar w:fldCharType="separate"/>
      </w:r>
      <w:proofErr w:type="spellStart"/>
      <w:r w:rsidRPr="002D76EA">
        <w:t>Farik</w:t>
      </w:r>
      <w:proofErr w:type="spellEnd"/>
      <w:r w:rsidRPr="002D76EA">
        <w:t xml:space="preserve"> </w:t>
      </w:r>
      <w:proofErr w:type="spellStart"/>
      <w:r w:rsidRPr="002D76EA">
        <w:t>Zolkepli</w:t>
      </w:r>
      <w:proofErr w:type="spellEnd"/>
      <w:r w:rsidRPr="002D76EA">
        <w:t>, ‘Worker Killed and 23 Hurt in Gas Plant Blast’ The Star (11 May 2012) &lt;http://www.thestar.com.my/News/Nation/2012/05/11/Worker-killed-and-23-hurt-in-gas-plant-blast/&gt; accessed on 25 October 2013.</w:t>
      </w:r>
      <w:r w:rsidRPr="002D76EA">
        <w:fldChar w:fldCharType="end"/>
      </w:r>
    </w:p>
    <w:p w:rsidR="000842F3" w:rsidRPr="002D76EA" w:rsidRDefault="000842F3" w:rsidP="002D76EA">
      <w:pPr>
        <w:spacing w:line="360" w:lineRule="auto"/>
        <w:ind w:left="142" w:hanging="142"/>
        <w:jc w:val="both"/>
      </w:pPr>
    </w:p>
    <w:p w:rsidR="000842F3" w:rsidRPr="002D76EA" w:rsidRDefault="000842F3" w:rsidP="002D76EA">
      <w:pPr>
        <w:spacing w:line="360" w:lineRule="auto"/>
        <w:ind w:left="142" w:hanging="142"/>
        <w:jc w:val="both"/>
      </w:pPr>
      <w:r w:rsidRPr="002D76EA">
        <w:tab/>
      </w:r>
      <w:r w:rsidRPr="002D76EA">
        <w:fldChar w:fldCharType="begin" w:fldLock="1"/>
      </w:r>
      <w:r w:rsidRPr="002D76EA">
        <w:instrText>ADDIN CSL_CITATION { "citationItems" : [ { "id" : "ITEM-1", "itemData" : { "author" : [ { "dropping-particle" : "", "family" : "Gordon", "given" : "Greg", "non-dropping-particle" : "", "parse-names" : false, "suffix" : "" } ], "container-title" : "Oil and Gas Law: Current Practice &amp; Emerging Trends", "editor" : [ { "dropping-particle" : "", "family" : "Gordon", "given" : "Greg", "non-dropping-particle" : "", "parse-names" : false, "suffix" : "" }, { "dropping-particle" : "", "family" : "Paterson", "given" : "John", "non-dropping-particle" : "", "parse-names" : false, "suffix" : "" }, { "dropping-particle" : "", "family" : "Usenmez", "given" : "Emre", "non-dropping-particle" : "", "parse-names" : false, "suffix" : "" } ], "id" : "ITEM-1", "issued" : { "date-parts" : [ [ "2011" ] ] }, "publisher" : "Dundee University Press", "title" : "Risk Allocation in Oil and Gas Contracts", "type" : "chapter", "volume" : "2nd" }, "locator" : "443", "uris" : [ "http://www.mendeley.com/documents/?uuid=af2427da-32f1-4233-bab9-40a1ea67aefe" ] } ], "mendeley" : { "formattedCitation" : "Greg Gordon, \u2018Risk Allocation in Oil and Gas Contracts\u2019 in Greg Gordon, John Paterson and Emre Usenmez (eds), &lt;i&gt;Oil and Gas Law: Current Practice &amp; Emerging Trends&lt;/i&gt;, vol 2nd (Dundee University Press 2011) 443.", "plainTextFormattedCitation" : "Greg Gordon, \u2018Risk Allocation in Oil and Gas Contracts\u2019 in Greg Gordon, John Paterson and Emre Usenmez (eds), Oil and Gas Law: Current Practice &amp; Emerging Trends, vol 2nd (Dundee University Press 2011) 443.", "previouslyFormattedCitation" : "Greg Gordon, \u2018Risk Allocation in Oil and Gas Contracts\u2019 in Greg Gordon, John Paterson and Emre Usenmez (eds), &lt;i&gt;Oil and Gas Law: Current Practice &amp; Emerging Trends&lt;/i&gt;, vol 2nd (Dundee University Press 2011) 443." }, "properties" : { "noteIndex" : 0 }, "schema" : "https://github.com/citation-style-language/schema/raw/master/csl-citation.json" }</w:instrText>
      </w:r>
      <w:r w:rsidRPr="002D76EA">
        <w:fldChar w:fldCharType="separate"/>
      </w:r>
      <w:r w:rsidRPr="002D76EA">
        <w:t xml:space="preserve">Greg Gordon, ‘Risk Allocation in Oil and Gas Contracts’ in Greg Gordon, John Paterson and </w:t>
      </w:r>
      <w:proofErr w:type="spellStart"/>
      <w:r w:rsidRPr="002D76EA">
        <w:t>Emre</w:t>
      </w:r>
      <w:proofErr w:type="spellEnd"/>
      <w:r w:rsidRPr="002D76EA">
        <w:t xml:space="preserve"> </w:t>
      </w:r>
      <w:proofErr w:type="spellStart"/>
      <w:r w:rsidRPr="002D76EA">
        <w:t>Usenmez</w:t>
      </w:r>
      <w:proofErr w:type="spellEnd"/>
      <w:r w:rsidRPr="002D76EA">
        <w:t xml:space="preserve"> (</w:t>
      </w:r>
      <w:proofErr w:type="spellStart"/>
      <w:r w:rsidRPr="002D76EA">
        <w:t>eds</w:t>
      </w:r>
      <w:proofErr w:type="spellEnd"/>
      <w:r w:rsidRPr="002D76EA">
        <w:t xml:space="preserve">), Oil and Gas Law: Current Practice &amp; Emerging Trends, </w:t>
      </w:r>
      <w:proofErr w:type="spellStart"/>
      <w:r w:rsidRPr="002D76EA">
        <w:t>vol</w:t>
      </w:r>
      <w:proofErr w:type="spellEnd"/>
      <w:r w:rsidRPr="002D76EA">
        <w:t xml:space="preserve"> 2nd (Dundee University Press 2011) 443.</w:t>
      </w:r>
      <w:r w:rsidRPr="002D76EA">
        <w:fldChar w:fldCharType="end"/>
      </w:r>
    </w:p>
    <w:p w:rsidR="000842F3" w:rsidRPr="002D76EA" w:rsidRDefault="000842F3" w:rsidP="002D76EA">
      <w:pPr>
        <w:spacing w:line="360" w:lineRule="auto"/>
        <w:ind w:left="142" w:hanging="142"/>
        <w:jc w:val="both"/>
      </w:pPr>
    </w:p>
    <w:p w:rsidR="000842F3" w:rsidRPr="002D76EA" w:rsidRDefault="000842F3" w:rsidP="002D76EA">
      <w:pPr>
        <w:pStyle w:val="FootnoteText"/>
        <w:ind w:left="142" w:hanging="142"/>
        <w:rPr>
          <w:sz w:val="24"/>
        </w:rPr>
      </w:pPr>
      <w:r w:rsidRPr="002D76EA">
        <w:rPr>
          <w:sz w:val="24"/>
        </w:rPr>
        <w:tab/>
      </w:r>
      <w:r w:rsidRPr="002D76EA">
        <w:rPr>
          <w:sz w:val="24"/>
        </w:rPr>
        <w:fldChar w:fldCharType="begin" w:fldLock="1"/>
      </w:r>
      <w:r w:rsidRPr="002D76EA">
        <w:rPr>
          <w:sz w:val="24"/>
        </w:rPr>
        <w:instrText>ADDIN CSL_CITATION { "citationItems" : [ { "id" : "ITEM-1", "itemData" : { "author" : [ { "dropping-particle" : "", "family" : "Mohammad", "given" : "Mohammad Fadhil", "non-dropping-particle" : "", "parse-names" : false, "suffix" : "" } ], "container-title" : "The Proceedings of the International Conference on Construction and Building Technology (ICCBT2008), Universiti Teknologi MARA (UiTM), Malaysia", "id" : "ITEM-1", "issued" : { "date-parts" : [ [ "2008" ] ] }, "page" : "29-38", "publisher" : "UiTM, Malaysia", "title" : "Procurement Strategies for the Oil and Gas Industry: To Capture Changing Values and Dealing with Multi Cultural Complexity", "type" : "paper-conference" }, "locator" : "33", "uris" : [ "http://www.mendeley.com/documents/?uuid=2fb57304-3744-4bac-a9f2-64fb834ebd6f" ] } ], "mendeley" : { "formattedCitation" : "Mohammad Fadhil Mohammad, \u2018Procurement Strategies for the Oil and Gas Industry: To Capture Changing Values and Dealing with Multi Cultural Complexity\u2019, &lt;i&gt;The Proceedings of the International Conference on Construction and Building Technology (ICCBT2008), Universiti Teknologi MARA (UiTM), Malaysia&lt;/i&gt; (UiTM, Malaysia 2008) 33.", "plainTextFormattedCitation" : "Mohammad Fadhil Mohammad, \u2018Procurement Strategies for the Oil and Gas Industry: To Capture Changing Values and Dealing with Multi Cultural Complexity\u2019, The Proceedings of the International Conference on Construction and Building Technology (ICCBT2008), Universiti Teknologi MARA (UiTM), Malaysia (UiTM, Malaysia 2008) 33.", "previouslyFormattedCitation" : "Mohammad Fadhil Mohammad, \u2018Procurement Strategies for the Oil and Gas Industry: To Capture Changing Values and Dealing with Multi Cultural Complexity\u2019, &lt;i&gt;The Proceedings of the International Conference on Construction and Building Technology (ICCBT2008), Universiti Teknologi MARA (UiTM), Malaysia&lt;/i&gt; (UiTM, Malaysia 2008) 33." }, "properties" : { "noteIndex" : 0 }, "schema" : "https://github.com/citation-style-language/schema/raw/master/csl-citation.json" }</w:instrText>
      </w:r>
      <w:r w:rsidRPr="002D76EA">
        <w:rPr>
          <w:sz w:val="24"/>
        </w:rPr>
        <w:fldChar w:fldCharType="separate"/>
      </w:r>
      <w:r w:rsidRPr="002D76EA">
        <w:rPr>
          <w:noProof/>
          <w:sz w:val="24"/>
        </w:rPr>
        <w:t xml:space="preserve">Mohammad Fadhil Mohammad, ‘Procurement Strategies for the Oil and Gas Industry: To Capture Changing Values and Dealing with Multi Cultural Complexity’, </w:t>
      </w:r>
      <w:r w:rsidRPr="002D76EA">
        <w:rPr>
          <w:i/>
          <w:noProof/>
          <w:sz w:val="24"/>
        </w:rPr>
        <w:t>The Proceedings of the International Conference on Construction and Building Technology (ICCBT2008), Universiti Teknologi MARA (UiTM), Malaysia</w:t>
      </w:r>
      <w:r w:rsidRPr="002D76EA">
        <w:rPr>
          <w:noProof/>
          <w:sz w:val="24"/>
        </w:rPr>
        <w:t xml:space="preserve"> (UiTM, Malaysia 2008) 33.</w:t>
      </w:r>
      <w:r w:rsidRPr="002D76EA">
        <w:rPr>
          <w:sz w:val="24"/>
        </w:rPr>
        <w:fldChar w:fldCharType="end"/>
      </w:r>
    </w:p>
    <w:p w:rsidR="000842F3" w:rsidRPr="002D76EA" w:rsidRDefault="000842F3" w:rsidP="002D76EA">
      <w:pPr>
        <w:pStyle w:val="FootnoteText"/>
        <w:ind w:left="142" w:hanging="142"/>
        <w:rPr>
          <w:sz w:val="24"/>
        </w:rPr>
      </w:pPr>
    </w:p>
    <w:p w:rsidR="000842F3" w:rsidRPr="002D76EA" w:rsidRDefault="000842F3" w:rsidP="002D76EA">
      <w:pPr>
        <w:pStyle w:val="FootnoteText"/>
        <w:ind w:left="142" w:hanging="142"/>
        <w:rPr>
          <w:sz w:val="24"/>
        </w:rPr>
      </w:pPr>
      <w:r w:rsidRPr="002D76EA">
        <w:rPr>
          <w:sz w:val="24"/>
        </w:rPr>
        <w:tab/>
      </w:r>
      <w:r w:rsidRPr="002D76EA">
        <w:rPr>
          <w:sz w:val="24"/>
        </w:rPr>
        <w:fldChar w:fldCharType="begin" w:fldLock="1"/>
      </w:r>
      <w:r w:rsidRPr="002D76EA">
        <w:rPr>
          <w:sz w:val="24"/>
        </w:rPr>
        <w:instrText>ADDIN CSL_CITATION { "citationItems" : [ { "id" : "ITEM-1", "itemData" : { "author" : [ { "dropping-particle" : "", "family" : "Mohammad", "given" : "Mohammad Fadhil", "non-dropping-particle" : "", "parse-names" : false, "suffix" : "" } ], "container-title" : "The Proceedings of the International Conference on Construction and Building Technology (ICCBT2008), Universiti Teknologi MARA (UiTM), Malaysia", "id" : "ITEM-1", "issued" : { "date-parts" : [ [ "2008" ] ] }, "page" : "29-38", "publisher" : "UiTM, Malaysia", "title" : "Procurement Strategies for the Oil and Gas Industry: To Capture Changing Values and Dealing with Multi Cultural Complexity", "type" : "paper-conference" }, "locator" : "33", "uris" : [ "http://www.mendeley.com/documents/?uuid=2fb57304-3744-4bac-a9f2-64fb834ebd6f" ] } ], "mendeley" : { "formattedCitation" : "Mohammad Fadhil Mohammad, \u2018Procurement Strategies for the Oil and Gas Industry: To Capture Changing Values and Dealing with Multi Cultural Complexity\u2019, &lt;i&gt;The Proceedings of the International Conference on Construction and Building Technology (ICCBT2008), Universiti Teknologi MARA (UiTM), Malaysia&lt;/i&gt; (UiTM, Malaysia 2008) 33.", "plainTextFormattedCitation" : "Mohammad Fadhil Mohammad, \u2018Procurement Strategies for the Oil and Gas Industry: To Capture Changing Values and Dealing with Multi Cultural Complexity\u2019, The Proceedings of the International Conference on Construction and Building Technology (ICCBT2008), Universiti Teknologi MARA (UiTM), Malaysia (UiTM, Malaysia 2008) 33.", "previouslyFormattedCitation" : "Mohammad Fadhil Mohammad, \u2018Procurement Strategies for the Oil and Gas Industry: To Capture Changing Values and Dealing with Multi Cultural Complexity\u2019, &lt;i&gt;The Proceedings of the International Conference on Construction and Building Technology (ICCBT2008), Universiti Teknologi MARA (UiTM), Malaysia&lt;/i&gt; (UiTM, Malaysia 2008) 33." }, "properties" : { "noteIndex" : 0 }, "schema" : "https://github.com/citation-style-language/schema/raw/master/csl-citation.json" }</w:instrText>
      </w:r>
      <w:r w:rsidRPr="002D76EA">
        <w:rPr>
          <w:sz w:val="24"/>
        </w:rPr>
        <w:fldChar w:fldCharType="separate"/>
      </w:r>
      <w:r w:rsidRPr="002D76EA">
        <w:rPr>
          <w:noProof/>
          <w:sz w:val="24"/>
        </w:rPr>
        <w:t xml:space="preserve">Mohammad Fadhil Mohammad, ‘Procurement Strategies for the Oil and Gas Industry: To Capture Changing Values and Dealing with Multi Cultural Complexity’, </w:t>
      </w:r>
      <w:r w:rsidRPr="002D76EA">
        <w:rPr>
          <w:i/>
          <w:noProof/>
          <w:sz w:val="24"/>
        </w:rPr>
        <w:t>The Proceedings of the International Conference on Construction and Building Technology (ICCBT2008), Universiti Teknologi MARA (UiTM), Malaysia</w:t>
      </w:r>
      <w:r w:rsidRPr="002D76EA">
        <w:rPr>
          <w:noProof/>
          <w:sz w:val="24"/>
        </w:rPr>
        <w:t xml:space="preserve"> (UiTM, Malaysia 2008) 33.</w:t>
      </w:r>
      <w:r w:rsidRPr="002D76EA">
        <w:rPr>
          <w:sz w:val="24"/>
        </w:rPr>
        <w:fldChar w:fldCharType="end"/>
      </w:r>
    </w:p>
    <w:p w:rsidR="000842F3" w:rsidRPr="002D76EA" w:rsidRDefault="000842F3" w:rsidP="002D76EA">
      <w:pPr>
        <w:pStyle w:val="FootnoteText"/>
        <w:ind w:left="142" w:hanging="142"/>
        <w:rPr>
          <w:sz w:val="24"/>
        </w:rPr>
      </w:pPr>
    </w:p>
    <w:p w:rsidR="000842F3" w:rsidRPr="002D76EA" w:rsidRDefault="000842F3" w:rsidP="002D76EA">
      <w:pPr>
        <w:spacing w:line="360" w:lineRule="auto"/>
        <w:ind w:left="142" w:hanging="142"/>
        <w:jc w:val="both"/>
      </w:pPr>
      <w:r w:rsidRPr="002D76EA">
        <w:tab/>
      </w:r>
      <w:r w:rsidRPr="002D76EA">
        <w:fldChar w:fldCharType="begin" w:fldLock="1"/>
      </w:r>
      <w:r w:rsidRPr="002D76EA">
        <w:instrText>ADDIN CSL_CITATION { "citationItems" : [ { "id" : "ITEM-1", "itemData" : { "URL" : "http://www.misc.com.my/2012-@-MISC_-_Bunga_Alpinia_Update_7.aspx", "accessed" : { "date-parts" : [ [ "2013", "11", "6" ] ] }, "container-title" : "MISC", "id" : "ITEM-1", "issued" : { "date-parts" : [ [ "2012", "7", "30" ] ] }, "title" : "MISC - Bunga Alpinia Update 7", "type" : "webpage" }, "suffix" : "accessed on 25 October 2013", "uris" : [ "http://www.mendeley.com/documents/?uuid=a0712f00-4c14-362b-8ec7-e4ad76a450c3" ] } ], "mendeley" : { "formattedCitation" : "\u2018MISC - Bunga Alpinia Update 7\u2019 (&lt;i&gt;MISC&lt;/i&gt;, 30 July 2012) &lt;http://www.misc.com.my/2012-@-MISC_-_Bunga_Alpinia_Update_7.aspx&gt; accessed 6 November 2013 accessed on 25 October 2013.", "plainTextFormattedCitation" : "\u2018MISC - Bunga Alpinia Update 7\u2019 (MISC, 30 July 2012)  accessed 6 November 2013 accessed on 25 October 2013.", "previouslyFormattedCitation" : "\u2018MISC - Bunga Alpinia Update 7\u2019 (&lt;i&gt;MISC&lt;/i&gt;, 30 July 2012) &lt;http://www.misc.com.my/2012-@-MISC_-_Bunga_Alpinia_Update_7.aspx&gt; accessed 6 November 2013 accessed on 25 October 2013." }, "properties" : { "noteIndex" : 0 }, "schema" : "https://github.com/citation-style-language/schema/raw/master/csl-citation.json" }</w:instrText>
      </w:r>
      <w:r w:rsidRPr="002D76EA">
        <w:fldChar w:fldCharType="separate"/>
      </w:r>
      <w:proofErr w:type="gramStart"/>
      <w:r w:rsidRPr="002D76EA">
        <w:t xml:space="preserve">‘MISC - </w:t>
      </w:r>
      <w:proofErr w:type="spellStart"/>
      <w:r w:rsidRPr="002D76EA">
        <w:t>Bunga</w:t>
      </w:r>
      <w:proofErr w:type="spellEnd"/>
      <w:r w:rsidRPr="002D76EA">
        <w:t xml:space="preserve"> </w:t>
      </w:r>
      <w:proofErr w:type="spellStart"/>
      <w:r w:rsidRPr="002D76EA">
        <w:t>Alpinia</w:t>
      </w:r>
      <w:proofErr w:type="spellEnd"/>
      <w:r w:rsidRPr="002D76EA">
        <w:t xml:space="preserve"> Update 7’ (MISC, 30 July 2012) &lt;http://www.misc.com.my/2012-@-MISC_-_Bunga_Alpinia_Update_7.aspx&gt; accessed 6 November 2013.</w:t>
      </w:r>
      <w:proofErr w:type="gramEnd"/>
      <w:r w:rsidRPr="002D76EA">
        <w:fldChar w:fldCharType="end"/>
      </w:r>
    </w:p>
    <w:p w:rsidR="000842F3" w:rsidRPr="002D76EA" w:rsidRDefault="000842F3" w:rsidP="002D76EA">
      <w:pPr>
        <w:spacing w:line="360" w:lineRule="auto"/>
        <w:ind w:left="142" w:hanging="142"/>
        <w:jc w:val="both"/>
      </w:pPr>
    </w:p>
    <w:p w:rsidR="000842F3" w:rsidRPr="002D76EA" w:rsidRDefault="000842F3" w:rsidP="002D76EA">
      <w:pPr>
        <w:pStyle w:val="FootnoteText"/>
        <w:ind w:left="142" w:hanging="142"/>
        <w:rPr>
          <w:sz w:val="24"/>
        </w:rPr>
      </w:pPr>
      <w:r w:rsidRPr="002D76EA">
        <w:rPr>
          <w:sz w:val="24"/>
        </w:rPr>
        <w:tab/>
      </w:r>
      <w:r w:rsidRPr="002D76EA">
        <w:rPr>
          <w:sz w:val="24"/>
        </w:rPr>
        <w:fldChar w:fldCharType="begin" w:fldLock="1"/>
      </w:r>
      <w:r w:rsidRPr="002D76EA">
        <w:rPr>
          <w:sz w:val="24"/>
        </w:rPr>
        <w:instrText>ADDIN CSL_CITATION { "citationItems" : [ { "id" : "ITEM-1", "itemData" : { "URL" : "http://www.theborneopost.com/2012/06/12/oil-platform-blast-scare/", "accessed" : { "date-parts" : [ [ "2014", "6", "12" ] ] }, "author" : [ { "dropping-particle" : "", "family" : "Abdullah", "given" : "Mohamad", "non-dropping-particle" : "", "parse-names" : false, "suffix" : "" }, { "dropping-particle" : "", "family" : "Francis", "given" : "Mary", "non-dropping-particle" : "", "parse-names" : false, "suffix" : "" }, { "dropping-particle" : "", "family" : "Kiew", "given" : "Philip", "non-dropping-particle" : "", "parse-names" : false, "suffix" : "" } ], "container-title" : "Borneo Post", "id" : "ITEM-1", "issued" : { "date-parts" : [ [ "2012", "6", "12" ] ] }, "title" : "Oil Platform Blast Scare", "type" : "webpage" }, "uris" : [ "http://www.mendeley.com/documents/?uuid=b817caa7-b651-34a3-b11f-ff3d6ce704b1" ] } ], "mendeley" : { "formattedCitation" : "Mohamad Abdullah, Mary Francis and Philip Kiew, \u2018Oil Platform Blast Scare\u2019 (&lt;i&gt;Borneo Post&lt;/i&gt;, 12 June 2012) &lt;http://www.theborneopost.com/2012/06/12/oil-platform-blast-scare/&gt; accessed 12 June 2014.", "plainTextFormattedCitation" : "Mohamad Abdullah, Mary Francis and Philip Kiew, \u2018Oil Platform Blast Scare\u2019 (Borneo Post, 12 June 2012)  accessed 12 June 2014.", "previouslyFormattedCitation" : "Mohamad Abdullah, Mary Francis and Philip Kiew, \u2018Oil Platform Blast Scare\u2019 (&lt;i&gt;Borneo Post&lt;/i&gt;, 12 June 2012) &lt;http://www.theborneopost.com/2012/06/12/oil-platform-blast-scare/&gt; accessed 12 June 2014." }, "properties" : { "noteIndex" : 0 }, "schema" : "https://github.com/citation-style-language/schema/raw/master/csl-citation.json" }</w:instrText>
      </w:r>
      <w:r w:rsidRPr="002D76EA">
        <w:rPr>
          <w:sz w:val="24"/>
        </w:rPr>
        <w:fldChar w:fldCharType="separate"/>
      </w:r>
      <w:proofErr w:type="spellStart"/>
      <w:proofErr w:type="gramStart"/>
      <w:r w:rsidRPr="002D76EA">
        <w:rPr>
          <w:sz w:val="24"/>
        </w:rPr>
        <w:t>Mohamad</w:t>
      </w:r>
      <w:proofErr w:type="spellEnd"/>
      <w:r w:rsidRPr="002D76EA">
        <w:rPr>
          <w:sz w:val="24"/>
        </w:rPr>
        <w:t xml:space="preserve"> Abdullah, Mary Francis and Philip </w:t>
      </w:r>
      <w:proofErr w:type="spellStart"/>
      <w:r w:rsidRPr="002D76EA">
        <w:rPr>
          <w:sz w:val="24"/>
        </w:rPr>
        <w:t>Kiew</w:t>
      </w:r>
      <w:proofErr w:type="spellEnd"/>
      <w:r w:rsidRPr="002D76EA">
        <w:rPr>
          <w:sz w:val="24"/>
        </w:rPr>
        <w:t>, ‘Oil Platform Blast Scare’ (Borneo Post, 12 June 2012) &lt;http://www.theborneopost.com/2012/06/12/oil-platform-blast-scare/&gt; accessed 12 June 2014.</w:t>
      </w:r>
      <w:proofErr w:type="gramEnd"/>
      <w:r w:rsidRPr="002D76EA">
        <w:rPr>
          <w:sz w:val="24"/>
        </w:rPr>
        <w:fldChar w:fldCharType="end"/>
      </w:r>
    </w:p>
    <w:p w:rsidR="000842F3" w:rsidRPr="002D76EA" w:rsidRDefault="000842F3" w:rsidP="002D76EA">
      <w:pPr>
        <w:pStyle w:val="FootnoteText"/>
        <w:ind w:left="142" w:hanging="142"/>
        <w:rPr>
          <w:sz w:val="24"/>
        </w:rPr>
      </w:pPr>
    </w:p>
    <w:p w:rsidR="000842F3" w:rsidRPr="002D76EA" w:rsidRDefault="000842F3" w:rsidP="002D76EA">
      <w:pPr>
        <w:spacing w:line="360" w:lineRule="auto"/>
        <w:ind w:left="142" w:hanging="142"/>
        <w:jc w:val="both"/>
      </w:pPr>
      <w:r w:rsidRPr="002D76EA">
        <w:tab/>
      </w:r>
      <w:r w:rsidRPr="002D76EA">
        <w:fldChar w:fldCharType="begin" w:fldLock="1"/>
      </w:r>
      <w:r w:rsidRPr="002D76EA">
        <w:instrText>ADDIN CSL_CITATION { "citationItems" : [ { "id" : "ITEM-1", "itemData" : { "URL" : "http://www.thestar.com.my/story/?file=/2012/7/29/nation/20120729154839&amp;sec=nation", "accessed" : { "date-parts" : [ [ "2013", "11", "10" ] ] }, "author" : [ { "dropping-particle" : "", "family" : "Sario", "given" : "Ruben", "non-dropping-particle" : "", "parse-names" : false, "suffix" : "" } ], "container-title" : "The Star", "id" : "ITEM-1", "issued" : { "date-parts" : [ [ "2012", "7", "29" ] ] }, "title" : "Tanker fire: Firemen board ship, work to plug diesel leak", "type" : "webpage" }, "uris" : [ "http://www.mendeley.com/documents/?uuid=2a365ae1-6078-3d2d-9a53-de645379fc95" ] } ], "mendeley" : { "formattedCitation" : "Ruben Sario, \u2018Tanker Fire: Firemen Board Ship, Work to Plug Diesel Leak\u2019 (&lt;i&gt;The Star&lt;/i&gt;, 29 July 2012) &lt;http://www.thestar.com.my/story/?file=/2012/7/29/nation/20120729154839&amp;sec=nation&gt; accessed 10 November 2013.", "plainTextFormattedCitation" : "Ruben Sario, \u2018Tanker Fire: Firemen Board Ship, Work to Plug Diesel Leak\u2019 (The Star, 29 July 2012)  accessed 10 November 2013.", "previouslyFormattedCitation" : "Ruben Sario, \u2018Tanker Fire: Firemen Board Ship, Work to Plug Diesel Leak\u2019 (&lt;i&gt;The Star&lt;/i&gt;, 29 July 2012) &lt;http://www.thestar.com.my/story/?file=/2012/7/29/nation/20120729154839&amp;sec=nation&gt; accessed 10 November 2013." }, "properties" : { "noteIndex" : 0 }, "schema" : "https://github.com/citation-style-language/schema/raw/master/csl-citation.json" }</w:instrText>
      </w:r>
      <w:r w:rsidRPr="002D76EA">
        <w:fldChar w:fldCharType="separate"/>
      </w:r>
      <w:r w:rsidRPr="002D76EA">
        <w:t xml:space="preserve">Ruben </w:t>
      </w:r>
      <w:proofErr w:type="spellStart"/>
      <w:r w:rsidRPr="002D76EA">
        <w:t>Sario</w:t>
      </w:r>
      <w:proofErr w:type="spellEnd"/>
      <w:r w:rsidRPr="002D76EA">
        <w:t>, ‘Tanker Fire: Firemen Board Ship, Work to Plug Diesel Leak’ (The Star, 29 July 2012) &lt;http://www.thestar.com.my/story/?file=/2012/7/29/nation/20120729154839&amp;sec=nation&gt; accessed 10 November 2013.</w:t>
      </w:r>
      <w:r w:rsidRPr="002D76EA">
        <w:fldChar w:fldCharType="end"/>
      </w:r>
    </w:p>
    <w:p w:rsidR="000842F3" w:rsidRPr="002D76EA" w:rsidRDefault="000842F3" w:rsidP="002D76EA">
      <w:pPr>
        <w:spacing w:line="360" w:lineRule="auto"/>
        <w:ind w:left="142" w:hanging="142"/>
        <w:jc w:val="both"/>
      </w:pPr>
    </w:p>
    <w:p w:rsidR="000842F3" w:rsidRPr="002D76EA" w:rsidRDefault="000842F3" w:rsidP="002D76EA">
      <w:pPr>
        <w:spacing w:line="360" w:lineRule="auto"/>
        <w:ind w:left="142" w:hanging="142"/>
        <w:jc w:val="both"/>
      </w:pPr>
      <w:r w:rsidRPr="002D76EA">
        <w:tab/>
      </w:r>
      <w:r w:rsidRPr="002D76EA">
        <w:fldChar w:fldCharType="begin" w:fldLock="1"/>
      </w:r>
      <w:r w:rsidRPr="002D76EA">
        <w:instrText>ADDIN CSL_CITATION { "citationItems" : [ { "id" : "ITEM-1", "itemData" : { "abstract" : "Accidents can and do happen. In the upstream oil and gas sector, this has been graphically illustrated by the recent spate of disasters involving exploration and production infrastructure including: the ongoing mud flow disaster in East Java, Indonesia, the October 2007 collision in the Gulf of Mexico of a jack-up rig with an offshore production platform and, in a chilling echo of the Piper Alpha disaster, the November 2007 fire on board the Thistle Alpha platform in the UK North Sea. This article looks at some of the liability allocation mechanisms in upstream project contracts, which commonly come into play when disaster strikes, and instances where such mechanisms have been considered by the courts. The allocation of liabilities in upstream oil and gas project contracts is a key concern to negotiators and drafters alike. Perhaps, along with the description of the basic subject matter of the contract and the price, settling the allocation of risk (and therefore, potential liabilities) is the key consideration and, inevitably, the parties' respective legal advisers will be at the forefront of this process. This article aims to provide a brief survey of some of the more commonly used liability allocation models and some instances where such models have been considered before the courts. The offshore oil and gas industry is a very risky business with huge capital sums invested and lives at stake. It is not surprising, therefore, that the industry has developed liability allocation models to deal with the risks and that such models are frequently put to the test -more frequently than is sometimes realised. It may be a measure of the relative success of those", "author" : [ { "dropping-particle" : "", "family" : "Hewitt", "given" : "Toby", "non-dropping-particle" : "", "parse-names" : false, "suffix" : "" } ], "container-title" : "J. Energy Nat. Resources L.", "id" : "ITEM-1", "issue" : "2", "issued" : { "date-parts" : [ [ "2008" ] ] }, "page" : "177", "title" : "Who is to Blame? Allocating Liability in Upstream Project Contracts", "type" : "article-journal", "volume" : "26" }, "locator" : "183", "uris" : [ "http://www.mendeley.com/documents/?uuid=6652faae-2b4b-4091-bcde-401088d04a64" ] } ], "mendeley" : { "formattedCitation" : "Toby Hewitt, \u2018Who Is to Blame? Allocating Liability in Upstream Project Contracts\u2019 (2008) 26 J. Energy Nat. Resources L. 177, 183.", "plainTextFormattedCitation" : "Toby Hewitt, \u2018Who Is to Blame? Allocating Liability in Upstream Project Contracts\u2019 (2008) 26 J. Energy Nat. Resources L. 177, 183.", "previouslyFormattedCitation" : "Toby Hewitt, \u2018Who Is to Blame? Allocating Liability in Upstream Project Contracts\u2019 (2008) 26 J. Energy Nat. Resources L. 177, 183." }, "properties" : { "noteIndex" : 0 }, "schema" : "https://github.com/citation-style-language/schema/raw/master/csl-citation.json" }</w:instrText>
      </w:r>
      <w:r w:rsidRPr="002D76EA">
        <w:fldChar w:fldCharType="separate"/>
      </w:r>
      <w:r w:rsidRPr="002D76EA">
        <w:t xml:space="preserve">Toby Hewitt, ‘Who Is to Blame? </w:t>
      </w:r>
      <w:proofErr w:type="gramStart"/>
      <w:r w:rsidRPr="002D76EA">
        <w:t>Allocating Liability in Upstream Project Contracts’ (2008) 26 J. Energy Nat. Resources L. 177, 183.</w:t>
      </w:r>
      <w:proofErr w:type="gramEnd"/>
      <w:r w:rsidRPr="002D76EA">
        <w:fldChar w:fldCharType="end"/>
      </w:r>
    </w:p>
    <w:p w:rsidR="000842F3" w:rsidRPr="002D76EA" w:rsidRDefault="000842F3" w:rsidP="002D76EA">
      <w:pPr>
        <w:spacing w:line="360" w:lineRule="auto"/>
        <w:ind w:left="142" w:hanging="142"/>
        <w:jc w:val="both"/>
      </w:pPr>
      <w:r w:rsidRPr="002D76EA">
        <w:tab/>
      </w:r>
      <w:r w:rsidRPr="002D76EA">
        <w:fldChar w:fldCharType="begin" w:fldLock="1"/>
      </w:r>
      <w:r w:rsidRPr="002D76EA">
        <w:instrText>ADDIN CSL_CITATION { "citationItems" : [ { "id" : "ITEM-1", "itemData" : { "author" : [ { "dropping-particle" : "", "family" : "Jeffrey Chiang Choong Luin", "given" : "", "non-dropping-particle" : "", "parse-names" : false, "suffix" : "" } ], "container-title" : "JURUTERA", "id" : "ITEM-1", "issued" : { "date-parts" : [ [ "2012" ] ] }, "publisher-place" : "Malaysia", "title" : "One more lesson in safety", "type" : "article-magazine" }, "locator" : "1", "prefix" : "The Institution of Engineers, Malaysia", "suppress-author" : 1, "uris" : [ "http://www.mendeley.com/documents/?uuid=73404ac6-b667-3d50-929e-267ea71aa1a6" ] } ], "mendeley" : { "formattedCitation" : "The Institution of Engineers, Malaysia \u2018One More Lesson in Safety\u2019 [2012] &lt;i&gt;JURUTERA&lt;/i&gt; 1.", "plainTextFormattedCitation" : "The Institution of Engineers, Malaysia \u2018One More Lesson in Safety\u2019 [2012] JURUTERA 1.", "previouslyFormattedCitation" : "The Institution of Engineers, Malaysia \u2018One More Lesson in Safety\u2019 [2012] &lt;i&gt;JURUTERA&lt;/i&gt; 1." }, "properties" : { "noteIndex" : 0 }, "schema" : "https://github.com/citation-style-language/schema/raw/master/csl-citation.json" }</w:instrText>
      </w:r>
      <w:r w:rsidRPr="002D76EA">
        <w:fldChar w:fldCharType="separate"/>
      </w:r>
      <w:proofErr w:type="gramStart"/>
      <w:r w:rsidRPr="002D76EA">
        <w:t>The Institution of Engineers, Malaysia ‘One More Lesson in Safety’ [2012] JURUTERA 1.</w:t>
      </w:r>
      <w:proofErr w:type="gramEnd"/>
      <w:r w:rsidRPr="002D76EA">
        <w:fldChar w:fldCharType="end"/>
      </w:r>
    </w:p>
    <w:p w:rsidR="000842F3" w:rsidRPr="002D76EA" w:rsidRDefault="000842F3" w:rsidP="002D76EA">
      <w:pPr>
        <w:spacing w:line="360" w:lineRule="auto"/>
        <w:ind w:left="142" w:hanging="142"/>
        <w:jc w:val="both"/>
      </w:pPr>
      <w:r w:rsidRPr="002D76EA">
        <w:lastRenderedPageBreak/>
        <w:tab/>
      </w:r>
      <w:r w:rsidRPr="002D76EA">
        <w:fldChar w:fldCharType="begin" w:fldLock="1"/>
      </w:r>
      <w:r w:rsidRPr="002D76EA">
        <w:instrText>ADDIN CSL_CITATION { "citationItems" : [ { "id" : "ITEM-1", "itemData" : { "URL" : "http://www.rigzone.com/news/oil_gas/a/119752/Fatal_Accidents_at_Petronas_Sites_Forces_Relook_at_Safety_Standards", "accessed" : { "date-parts" : [ [ "2013", "11", "6" ] ] }, "author" : [ { "dropping-particle" : "", "family" : "Koh", "given" : "Quintella", "non-dropping-particle" : "", "parse-names" : false, "suffix" : "" } ], "container-title" : "Rigzone", "id" : "ITEM-1", "issued" : { "date-parts" : [ [ "2012", "8", "1" ] ] }, "title" : "Fatal Accidents at Petronas Sites Forces Relook at Safety Standards", "type" : "webpage" }, "uris" : [ "http://www.mendeley.com/documents/?uuid=846583f0-ea1c-368e-92c6-110c365f6edf" ] } ], "mendeley" : { "formattedCitation" : "Quintella Koh, \u2018Fatal Accidents at Petronas Sites Forces Relook at Safety Standards\u2019 (&lt;i&gt;Rigzone&lt;/i&gt;, 1 August 2012) &lt;http://www.rigzone.com/news/oil_gas/a/119752/Fatal_Accidents_at_Petronas_Sites_Forces_Relook_at_Safety_Standards&gt; accessed 6 November 2013.", "manualFormatting" : "Quintella Koh, \u2018Fatal Accidents at Petronas Sites Forces Relook at Safety Standards\u2019 (Rigzone, 1 August 2012).  accessed 6 November 2013.", "plainTextFormattedCitation" : "Quintella Koh, \u2018Fatal Accidents at Petronas Sites Forces Relook at Safety Standards\u2019 (Rigzone, 1 August 2012)  accessed 6 November 2013.", "previouslyFormattedCitation" : "Quintella Koh, \u2018Fatal Accidents at Petronas Sites Forces Relook at Safety Standards\u2019 (&lt;i&gt;Rigzone&lt;/i&gt;, 1 August 2012) &lt;http://www.rigzone.com/news/oil_gas/a/119752/Fatal_Accidents_at_Petronas_Sites_Forces_Relook_at_Safety_Standards&gt; accessed 6 November 2013." }, "properties" : { "noteIndex" : 0 }, "schema" : "https://github.com/citation-style-language/schema/raw/master/csl-citation.json" }</w:instrText>
      </w:r>
      <w:r w:rsidRPr="002D76EA">
        <w:fldChar w:fldCharType="separate"/>
      </w:r>
      <w:proofErr w:type="spellStart"/>
      <w:r w:rsidRPr="002D76EA">
        <w:t>Quintella</w:t>
      </w:r>
      <w:proofErr w:type="spellEnd"/>
      <w:r w:rsidRPr="002D76EA">
        <w:t xml:space="preserve"> </w:t>
      </w:r>
      <w:proofErr w:type="spellStart"/>
      <w:r w:rsidRPr="002D76EA">
        <w:t>Koh</w:t>
      </w:r>
      <w:proofErr w:type="spellEnd"/>
      <w:r w:rsidRPr="002D76EA">
        <w:t xml:space="preserve">, ‘Fatal Accidents at </w:t>
      </w:r>
      <w:proofErr w:type="spellStart"/>
      <w:r w:rsidRPr="002D76EA">
        <w:t>Petronas</w:t>
      </w:r>
      <w:proofErr w:type="spellEnd"/>
      <w:r w:rsidRPr="002D76EA">
        <w:t xml:space="preserve"> Sites Forces Relook at Safety Standards’ (</w:t>
      </w:r>
      <w:proofErr w:type="spellStart"/>
      <w:r w:rsidRPr="002D76EA">
        <w:t>Rigzone</w:t>
      </w:r>
      <w:proofErr w:type="spellEnd"/>
      <w:r w:rsidRPr="002D76EA">
        <w:t>, 1 August 2012). &lt;http://www.rigzone.com/news/oil_gas/a/119752/Fatal_Accidents_at_Petronas_Sites_Forces_Relook_at_Safety_Standards&gt; accessed 6 November 2013.</w:t>
      </w:r>
      <w:r w:rsidRPr="002D76EA">
        <w:fldChar w:fldCharType="end"/>
      </w:r>
    </w:p>
    <w:p w:rsidR="000842F3" w:rsidRPr="002D76EA" w:rsidRDefault="000842F3" w:rsidP="002D76EA">
      <w:pPr>
        <w:spacing w:line="360" w:lineRule="auto"/>
        <w:ind w:left="142" w:hanging="142"/>
        <w:jc w:val="both"/>
      </w:pPr>
      <w:r w:rsidRPr="002D76EA">
        <w:tab/>
      </w:r>
      <w:r w:rsidRPr="002D76EA">
        <w:fldChar w:fldCharType="begin" w:fldLock="1"/>
      </w:r>
      <w:r w:rsidRPr="002D76EA">
        <w:instrText>ADDIN CSL_CITATION { "citationItems" : [ { "id" : "ITEM-1", "itemData" : { "ISBN" : "0199593337", "abstract" : "Anson's Law of Contract is a classic text in the field, renowned for offering an accurate, authoritative and stimulating account of the law and its underlying principles. In this edition Sir Jack Beatson has been joined by Professor Andrew Burrows and Professor John Cartwright to create an exceptional author team. The 29th edition continues to provide comprehensive and detailed coverage of all topics covered on modern contract law courses, and has been completely revised and updated to incorporate all notable developments in case law, legislation, and academic debate.", "author" : [ { "dropping-particle" : "", "family" : "Anson", "given" : "Sir William Reynell", "non-dropping-particle" : "", "parse-names" : false, "suffix" : "" }, { "dropping-particle" : "", "family" : "Beatson", "given" : "J.", "non-dropping-particle" : "", "parse-names" : false, "suffix" : "" }, { "dropping-particle" : "", "family" : "Burrows", "given" : "Andrew S.", "non-dropping-particle" : "", "parse-names" : false, "suffix" : "" }, { "dropping-particle" : "", "family" : "Cartwright", "given" : "John", "non-dropping-particle" : "", "parse-names" : false, "suffix" : "" } ], "id" : "ITEM-1", "issued" : { "date-parts" : [ [ "2010" ] ] }, "number-of-pages" : "750", "publisher" : "OU Press", "title" : "Anson's Law of Contract", "type" : "book" }, "locator" : "3", "uris" : [ "http://www.mendeley.com/documents/?uuid=af803222-67aa-4ee4-bcc6-b54eb053505f" ] } ], "mendeley" : { "formattedCitation" : "Sir William Reynell Anson and others, &lt;i&gt;Anson\u2019s Law of Contract&lt;/i&gt; (OU Press 2010) 3.", "plainTextFormattedCitation" : "Sir William Reynell Anson and others, Anson\u2019s Law of Contract (OU Press 2010) 3.", "previouslyFormattedCitation" : "Sir William Reynell Anson and others, &lt;i&gt;Anson\u2019s Law of Contract&lt;/i&gt; (OU Press 2010) 3." }, "properties" : { "noteIndex" : 0 }, "schema" : "https://github.com/citation-style-language/schema/raw/master/csl-citation.json" }</w:instrText>
      </w:r>
      <w:r w:rsidRPr="002D76EA">
        <w:fldChar w:fldCharType="separate"/>
      </w:r>
      <w:proofErr w:type="gramStart"/>
      <w:r w:rsidRPr="002D76EA">
        <w:t xml:space="preserve">Sir William </w:t>
      </w:r>
      <w:proofErr w:type="spellStart"/>
      <w:r w:rsidRPr="002D76EA">
        <w:t>Reynell</w:t>
      </w:r>
      <w:proofErr w:type="spellEnd"/>
      <w:r w:rsidRPr="002D76EA">
        <w:t xml:space="preserve"> Anson and others, Anson’s Law of Contract (OU Press 2010) 3.</w:t>
      </w:r>
      <w:proofErr w:type="gramEnd"/>
      <w:r w:rsidRPr="002D76EA">
        <w:fldChar w:fldCharType="end"/>
      </w:r>
    </w:p>
    <w:p w:rsidR="000842F3" w:rsidRPr="002D76EA" w:rsidRDefault="000842F3" w:rsidP="002D76EA">
      <w:pPr>
        <w:spacing w:line="360" w:lineRule="auto"/>
        <w:ind w:left="142" w:hanging="142"/>
        <w:jc w:val="both"/>
      </w:pPr>
      <w:r w:rsidRPr="002D76EA">
        <w:tab/>
      </w:r>
      <w:r w:rsidRPr="002D76EA">
        <w:fldChar w:fldCharType="begin" w:fldLock="1"/>
      </w:r>
      <w:r w:rsidRPr="002D76EA">
        <w:instrText>ADDIN CSL_CITATION { "citationItems" : [ { "id" : "ITEM-1", "itemData" : { "author" : [ { "dropping-particle" : "", "family" : "Cameron", "given" : "Peter", "non-dropping-particle" : "", "parse-names" : false, "suffix" : "" } ], "container-title" : "IELR", "id" : "ITEM-1", "issued" : { "date-parts" : [ [ "2012" ] ] }, "note" : "Tag: Pet12; SourceType: JournalArticle; Guid: {F78C18D9-23FC-A047-94DD-7A86DF451ABE}", "page" : "207", "title" : "Liability for Catastrophic Risk in the Oil and Gas Industry", "type" : "article-journal" }, "locator" : "207", "uris" : [ "http://www.mendeley.com/documents/?uuid=420c922d-37fc-410f-8696-258b2d203eaf" ] } ], "mendeley" : { "formattedCitation" : "Peter Cameron, \u2018Liability for Catastrophic Risk in the Oil and Gas Industry\u2019 [2012] IELR 207, 207.", "plainTextFormattedCitation" : "Peter Cameron, \u2018Liability for Catastrophic Risk in the Oil and Gas Industry\u2019 [2012] IELR 207, 207.", "previouslyFormattedCitation" : "Peter Cameron, \u2018Liability for Catastrophic Risk in the Oil and Gas Industry\u2019 [2012] IELR 207, 207." }, "properties" : { "noteIndex" : 0 }, "schema" : "https://github.com/citation-style-language/schema/raw/master/csl-citation.json" }</w:instrText>
      </w:r>
      <w:r w:rsidRPr="002D76EA">
        <w:fldChar w:fldCharType="separate"/>
      </w:r>
      <w:proofErr w:type="gramStart"/>
      <w:r w:rsidRPr="002D76EA">
        <w:t>Peter Cameron, ‘Liability for Catastrophic Risk in the Oil and Gas Industry’ [2012] IELR 207, 207.</w:t>
      </w:r>
      <w:proofErr w:type="gramEnd"/>
      <w:r w:rsidRPr="002D76EA">
        <w:fldChar w:fldCharType="end"/>
      </w:r>
    </w:p>
    <w:p w:rsidR="000842F3" w:rsidRPr="002D76EA" w:rsidRDefault="000842F3" w:rsidP="002D76EA">
      <w:pPr>
        <w:spacing w:line="360" w:lineRule="auto"/>
        <w:ind w:left="142" w:hanging="142"/>
        <w:jc w:val="both"/>
      </w:pPr>
    </w:p>
    <w:p w:rsidR="000842F3" w:rsidRPr="002D76EA" w:rsidRDefault="000842F3" w:rsidP="002D76EA">
      <w:pPr>
        <w:spacing w:line="360" w:lineRule="auto"/>
        <w:ind w:left="142" w:hanging="142"/>
        <w:jc w:val="both"/>
      </w:pPr>
      <w:r w:rsidRPr="002D76EA">
        <w:tab/>
      </w:r>
      <w:r w:rsidRPr="002D76EA">
        <w:fldChar w:fldCharType="begin" w:fldLock="1"/>
      </w:r>
      <w:r w:rsidRPr="002D76EA">
        <w:instrText>ADDIN CSL_CITATION { "citationItems" : [ { "id" : "ITEM-1", "itemData" : { "author" : [ { "dropping-particle" : "", "family" : "Lyndsay Rebeca Garnica Gonz\u00e1lez", "given" : "", "non-dropping-particle" : "", "parse-names" : false, "suffix" : "" } ], "id" : "ITEM-1", "issued" : { "date-parts" : [ [ "2011" ] ] }, "publisher" : "Thesis, Faculty of Law, University of Oslo", "title" : "Self Insurance in the Offshore Drilling. The aftermath of the Macondo.", "type" : "thesis" }, "locator" : "9", "uris" : [ "http://www.mendeley.com/documents/?uuid=79e67dc3-06af-3ea7-b8ad-59901d4c25eb" ] } ], "mendeley" : { "formattedCitation" : "Lyndsay Rebeca Garnica Gonz\u00e1lez, \u2018Self Insurance in the Offshore Drilling. The Aftermath of the Macondo.\u2019 (Thesis, Faculty of Law, University of Oslo 2011) 9.", "plainTextFormattedCitation" : "Lyndsay Rebeca Garnica Gonz\u00e1lez, \u2018Self Insurance in the Offshore Drilling. The Aftermath of the Macondo.\u2019 (Thesis, Faculty of Law, University of Oslo 2011) 9.", "previouslyFormattedCitation" : "Lyndsay Rebeca Garnica Gonz\u00e1lez, \u2018Self Insurance in the Offshore Drilling. The Aftermath of the Macondo.\u2019 (Thesis, Faculty of Law, University of Oslo 2011) 9." }, "properties" : { "noteIndex" : 0 }, "schema" : "https://github.com/citation-style-language/schema/raw/master/csl-citation.json" }</w:instrText>
      </w:r>
      <w:r w:rsidRPr="002D76EA">
        <w:fldChar w:fldCharType="separate"/>
      </w:r>
      <w:proofErr w:type="spellStart"/>
      <w:r w:rsidRPr="002D76EA">
        <w:t>Lyndsay</w:t>
      </w:r>
      <w:proofErr w:type="spellEnd"/>
      <w:r w:rsidRPr="002D76EA">
        <w:t xml:space="preserve"> </w:t>
      </w:r>
      <w:proofErr w:type="spellStart"/>
      <w:r w:rsidRPr="002D76EA">
        <w:t>Rebeca</w:t>
      </w:r>
      <w:proofErr w:type="spellEnd"/>
      <w:r w:rsidRPr="002D76EA">
        <w:t xml:space="preserve"> </w:t>
      </w:r>
      <w:proofErr w:type="spellStart"/>
      <w:r w:rsidRPr="002D76EA">
        <w:t>Garnica</w:t>
      </w:r>
      <w:proofErr w:type="spellEnd"/>
      <w:r w:rsidRPr="002D76EA">
        <w:t xml:space="preserve"> González, ‘Self Insurance in the Offshore Drilling. </w:t>
      </w:r>
      <w:proofErr w:type="gramStart"/>
      <w:r w:rsidRPr="002D76EA">
        <w:t xml:space="preserve">The Aftermath of the </w:t>
      </w:r>
      <w:proofErr w:type="spellStart"/>
      <w:r w:rsidRPr="002D76EA">
        <w:t>Macondo</w:t>
      </w:r>
      <w:proofErr w:type="spellEnd"/>
      <w:r w:rsidRPr="002D76EA">
        <w:t>.’</w:t>
      </w:r>
      <w:proofErr w:type="gramEnd"/>
      <w:r w:rsidRPr="002D76EA">
        <w:t xml:space="preserve"> (Thesis, Faculty of Law, University of Oslo 2011) 9.</w:t>
      </w:r>
      <w:r w:rsidRPr="002D76EA">
        <w:fldChar w:fldCharType="end"/>
      </w:r>
    </w:p>
    <w:p w:rsidR="000842F3" w:rsidRPr="002D76EA" w:rsidRDefault="000842F3" w:rsidP="002D76EA">
      <w:pPr>
        <w:spacing w:line="360" w:lineRule="auto"/>
        <w:ind w:left="142" w:hanging="142"/>
        <w:jc w:val="both"/>
      </w:pPr>
    </w:p>
    <w:p w:rsidR="00385D81" w:rsidRPr="002D76EA" w:rsidRDefault="000842F3" w:rsidP="002D76EA">
      <w:pPr>
        <w:tabs>
          <w:tab w:val="left" w:pos="1395"/>
        </w:tabs>
        <w:spacing w:line="360" w:lineRule="auto"/>
        <w:ind w:left="142" w:right="10" w:hanging="142"/>
        <w:jc w:val="both"/>
      </w:pPr>
      <w:r w:rsidRPr="002D76EA">
        <w:tab/>
      </w:r>
      <w:r w:rsidRPr="002D76EA">
        <w:fldChar w:fldCharType="begin" w:fldLock="1"/>
      </w:r>
      <w:r w:rsidRPr="002D76EA">
        <w:instrText>ADDIN CSL_CITATION { "citationItems" : [ { "id" : "ITEM-1", "itemData" : { "author" : [ { "dropping-particle" : "", "family" : "Zulhafiz", "given" : "Wan", "non-dropping-particle" : "", "parse-names" : false, "suffix" : "" } ], "container-title" : "Int. J. Trade and Global Markets", "id" : "ITEM-1", "issued" : { "date-parts" : [ [ "2015" ] ] }, "page" : "3", "title" : "Unfair Contract Terms Act 1977: does it provide a good model in regulating risk allocation provisions in oilfield contracts in Malaysia?", "type" : "article-journal", "volume" : "8" }, "uris" : [ "http://www.mendeley.com/documents/?uuid=81530b51-b95f-4b48-a853-c61b5b7bc92b" ] }, { "id" : "ITEM-2", "itemData" : { "author" : [ { "dropping-particle" : "", "family" : "Culligan", "given" : "Dennis", "non-dropping-particle" : "", "parse-names" : false, "suffix" : "" }, { "dropping-particle" : "", "family" : "Roo", "given" : "Barbara", "non-dropping-particle" : "de", "parse-names" : false, "suffix" : "" } ], "container-title" : "Proceedings of the IMCA Contracts &amp; Insurance Seminar: Allocation of Risk in the Current Challenging Market on 19th May 2015 in London, UK", "id" : "ITEM-2", "issued" : { "date-parts" : [ [ "2015" ] ] }, "publisher" : "International Marine Contractors Association (IMCA)", "publisher-place" : "London", "title" : "Risk Allocation Future Prospects", "type" : "paper-conference" }, "uris" : [ "http://www.mendeley.com/documents/?uuid=3880853f-4a1e-3f18-9235-d9ec99c96cb0" ] } ], "mendeley" : { "formattedCitation" : "Wan Zulhafiz, \u2018Unfair Contract Terms Act 1977: Does It Provide a Good Model in Regulating Risk Allocation Provisions in Oilfield Contracts in Malaysia?\u2019 (2015) 8 Int. J. Trade and Global Markets 3; Dennis Culligan and Barbara de Roo, \u2018Risk Allocation Future Prospects\u2019, &lt;i&gt;Proceedings of the IMCA Contracts &amp; Insurance Seminar: Allocation of Risk in the Current Challenging Market on 19th May 2015 in London, UK&lt;/i&gt; (International Marine Contractors Association (IMCA) 2015).", "plainTextFormattedCitation" : "Wan Zulhafiz, \u2018Unfair Contract Terms Act 1977: Does It Provide a Good Model in Regulating Risk Allocation Provisions in Oilfield Contracts in Malaysia?\u2019 (2015) 8 Int. J. Trade and Global Markets 3; Dennis Culligan and Barbara de Roo, \u2018Risk Allocation Future Prospects\u2019, Proceedings of the IMCA Contracts &amp; Insurance Seminar: Allocation of Risk in the Current Challenging Market on 19th May 2015 in London, UK (International Marine Contractors Association (IMCA) 2015).", "previouslyFormattedCitation" : "Wan Zulhafiz, \u2018Unfair Contract Terms Act 1977: Does It Provide a Good Model in Regulating Risk Allocation Provisions in Oilfield Contracts in Malaysia?\u2019 (2015) 8 Int. J. Trade and Global Markets 3; Dennis Culligan and Barbara de Roo, \u2018Risk Allocation Future Prospects\u2019, &lt;i&gt;Proceedings of the IMCA Contracts &amp; Insurance Seminar: Allocation of Risk in the Current Challenging Market on 19th May 2015 in London, UK&lt;/i&gt; (International Marine Contractors Association (IMCA) 2015)." }, "properties" : { "noteIndex" : 0 }, "schema" : "https://github.com/citation-style-language/schema/raw/master/csl-citation.json" }</w:instrText>
      </w:r>
      <w:r w:rsidRPr="002D76EA">
        <w:fldChar w:fldCharType="separate"/>
      </w:r>
      <w:r w:rsidRPr="002D76EA">
        <w:t xml:space="preserve">Wan </w:t>
      </w:r>
      <w:proofErr w:type="spellStart"/>
      <w:r w:rsidRPr="002D76EA">
        <w:t>Zulhafiz</w:t>
      </w:r>
      <w:proofErr w:type="spellEnd"/>
      <w:r w:rsidRPr="002D76EA">
        <w:t xml:space="preserve">, ‘Unfair Contract Terms Act 1977: Does It Provide a Good Model in Regulating Risk Allocation Provisions in Oilfield Contracts in Malaysia?’ </w:t>
      </w:r>
      <w:proofErr w:type="gramStart"/>
      <w:r w:rsidRPr="002D76EA">
        <w:t>(2015) 8 Int. J. Trade and Global Markets 3.</w:t>
      </w:r>
      <w:proofErr w:type="gramEnd"/>
      <w:r w:rsidRPr="002D76EA">
        <w:t xml:space="preserve"> </w:t>
      </w:r>
      <w:r w:rsidRPr="002D76EA">
        <w:fldChar w:fldCharType="end"/>
      </w:r>
    </w:p>
    <w:p w:rsidR="002D76EA" w:rsidRPr="002D76EA" w:rsidRDefault="002D76EA" w:rsidP="002D76EA">
      <w:pPr>
        <w:tabs>
          <w:tab w:val="left" w:pos="1395"/>
        </w:tabs>
        <w:spacing w:line="360" w:lineRule="auto"/>
        <w:ind w:right="10"/>
        <w:jc w:val="both"/>
      </w:pPr>
    </w:p>
    <w:p w:rsidR="002D76EA" w:rsidRPr="002D76EA" w:rsidRDefault="002D76EA" w:rsidP="002D76EA">
      <w:pPr>
        <w:tabs>
          <w:tab w:val="left" w:pos="1395"/>
        </w:tabs>
        <w:spacing w:line="360" w:lineRule="auto"/>
        <w:ind w:left="142" w:right="10" w:hanging="142"/>
        <w:jc w:val="both"/>
      </w:pPr>
    </w:p>
    <w:p w:rsidR="002D76EA" w:rsidRPr="002D76EA" w:rsidRDefault="002D76EA" w:rsidP="002D76EA">
      <w:pPr>
        <w:widowControl w:val="0"/>
        <w:autoSpaceDE w:val="0"/>
        <w:autoSpaceDN w:val="0"/>
        <w:adjustRightInd w:val="0"/>
        <w:spacing w:line="360" w:lineRule="auto"/>
        <w:ind w:left="142"/>
        <w:jc w:val="both"/>
        <w:rPr>
          <w:noProof/>
        </w:rPr>
      </w:pPr>
      <w:r w:rsidRPr="002D76EA">
        <w:rPr>
          <w:noProof/>
        </w:rPr>
        <w:t>Wan M. Zulhafiz</w:t>
      </w:r>
      <w:r w:rsidRPr="002D76EA">
        <w:rPr>
          <w:noProof/>
        </w:rPr>
        <w:t xml:space="preserve">, ‘An Empirical Study on the Contractual Risk Allocation Provisions and Indemnity and Hold Harmless Clauses in the Oilfield Service Contracts in Malaysia’, </w:t>
      </w:r>
      <w:r w:rsidRPr="002D76EA">
        <w:rPr>
          <w:i/>
          <w:iCs/>
          <w:noProof/>
        </w:rPr>
        <w:t>Paper Proceedings on ‘Second International Conference on Interdisciplinary Legal Studies (ICILS) 2015’ on 9th-10th June 2015 in Toronto, Canada</w:t>
      </w:r>
      <w:r w:rsidRPr="002D76EA">
        <w:rPr>
          <w:noProof/>
        </w:rPr>
        <w:t xml:space="preserve"> (Unique Conference Canada, June 2015)</w:t>
      </w:r>
    </w:p>
    <w:p w:rsidR="002D76EA" w:rsidRPr="002D76EA" w:rsidRDefault="002D76EA" w:rsidP="002D76EA">
      <w:pPr>
        <w:widowControl w:val="0"/>
        <w:autoSpaceDE w:val="0"/>
        <w:autoSpaceDN w:val="0"/>
        <w:adjustRightInd w:val="0"/>
        <w:spacing w:line="360" w:lineRule="auto"/>
        <w:ind w:left="142"/>
        <w:jc w:val="both"/>
        <w:rPr>
          <w:noProof/>
        </w:rPr>
      </w:pPr>
    </w:p>
    <w:p w:rsidR="002D76EA" w:rsidRPr="002D76EA" w:rsidRDefault="002D76EA" w:rsidP="002D76EA">
      <w:pPr>
        <w:widowControl w:val="0"/>
        <w:autoSpaceDE w:val="0"/>
        <w:autoSpaceDN w:val="0"/>
        <w:adjustRightInd w:val="0"/>
        <w:spacing w:line="360" w:lineRule="auto"/>
        <w:ind w:left="142"/>
        <w:jc w:val="both"/>
        <w:rPr>
          <w:noProof/>
        </w:rPr>
      </w:pPr>
      <w:r w:rsidRPr="002D76EA">
        <w:rPr>
          <w:noProof/>
        </w:rPr>
        <w:t>Wan M. Zulhafiz, ‘A Comparative Analysis on the Enforceability of Knock-for-Knock Indemnities in Thailand and the United Kingdom’ (2017) 44 Journal of Malaysian and Comparative Law</w:t>
      </w:r>
    </w:p>
    <w:p w:rsidR="002D76EA" w:rsidRPr="002D76EA" w:rsidRDefault="002D76EA" w:rsidP="002D76EA">
      <w:pPr>
        <w:widowControl w:val="0"/>
        <w:autoSpaceDE w:val="0"/>
        <w:autoSpaceDN w:val="0"/>
        <w:adjustRightInd w:val="0"/>
        <w:spacing w:line="360" w:lineRule="auto"/>
        <w:jc w:val="both"/>
        <w:rPr>
          <w:noProof/>
        </w:rPr>
      </w:pPr>
    </w:p>
    <w:p w:rsidR="002D76EA" w:rsidRPr="002D76EA" w:rsidRDefault="002D76EA" w:rsidP="002D76EA">
      <w:pPr>
        <w:widowControl w:val="0"/>
        <w:autoSpaceDE w:val="0"/>
        <w:autoSpaceDN w:val="0"/>
        <w:adjustRightInd w:val="0"/>
        <w:spacing w:line="360" w:lineRule="auto"/>
        <w:ind w:left="142"/>
        <w:jc w:val="both"/>
        <w:rPr>
          <w:noProof/>
        </w:rPr>
      </w:pPr>
      <w:r w:rsidRPr="002D76EA">
        <w:rPr>
          <w:noProof/>
        </w:rPr>
        <w:t>Wan M. Zulhafiz, ‘On the Contractual Risk Allocation in Oil and Gas Projects’ [2017] The Law Review 168</w:t>
      </w:r>
    </w:p>
    <w:p w:rsidR="002D76EA" w:rsidRPr="002D76EA" w:rsidRDefault="002D76EA" w:rsidP="002D76EA">
      <w:pPr>
        <w:widowControl w:val="0"/>
        <w:autoSpaceDE w:val="0"/>
        <w:autoSpaceDN w:val="0"/>
        <w:adjustRightInd w:val="0"/>
        <w:spacing w:line="360" w:lineRule="auto"/>
        <w:ind w:left="142"/>
        <w:jc w:val="both"/>
        <w:rPr>
          <w:noProof/>
        </w:rPr>
      </w:pPr>
    </w:p>
    <w:p w:rsidR="002D76EA" w:rsidRPr="002D76EA" w:rsidRDefault="002D76EA" w:rsidP="002D76EA">
      <w:pPr>
        <w:widowControl w:val="0"/>
        <w:autoSpaceDE w:val="0"/>
        <w:autoSpaceDN w:val="0"/>
        <w:adjustRightInd w:val="0"/>
        <w:spacing w:line="360" w:lineRule="auto"/>
        <w:ind w:left="142"/>
        <w:jc w:val="both"/>
      </w:pPr>
      <w:r w:rsidRPr="002D76EA">
        <w:rPr>
          <w:noProof/>
        </w:rPr>
        <w:t>Wan M. Zulhafiz, ‘Recent Trends in Allocation of Risk Post-Macondo: The Growing Tension Between Oil and Gas Standard Forms of Contract, and Contractual Practice’ [2017] International Energy Law Review 170</w:t>
      </w:r>
    </w:p>
    <w:sectPr w:rsidR="002D76EA" w:rsidRPr="002D76EA" w:rsidSect="00486C45">
      <w:headerReference w:type="default" r:id="rId14"/>
      <w:footerReference w:type="default" r:id="rId15"/>
      <w:headerReference w:type="first" r:id="rId16"/>
      <w:pgSz w:w="11907" w:h="16839" w:code="9"/>
      <w:pgMar w:top="1530" w:right="1440" w:bottom="1440" w:left="1526" w:header="274" w:footer="4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E99" w:rsidRDefault="00C40E99" w:rsidP="00B3580E">
      <w:r>
        <w:separator/>
      </w:r>
    </w:p>
  </w:endnote>
  <w:endnote w:type="continuationSeparator" w:id="0">
    <w:p w:rsidR="00C40E99" w:rsidRDefault="00C40E99" w:rsidP="00B3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ＭＳ ゴシック">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71" w:rsidRPr="00304F56" w:rsidRDefault="00741471" w:rsidP="00CC7EB1">
    <w:pPr>
      <w:pStyle w:val="Footer"/>
      <w:ind w:right="-446"/>
      <w:jc w:val="center"/>
      <w:rPr>
        <w:rFonts w:ascii="Arial" w:hAnsi="Arial" w:cs="Arial"/>
        <w:sz w:val="20"/>
      </w:rPr>
    </w:pPr>
    <w:r w:rsidRPr="00304F56">
      <w:rPr>
        <w:rFonts w:ascii="Arial" w:hAnsi="Arial" w:cs="Arial"/>
        <w:sz w:val="20"/>
      </w:rPr>
      <w:t xml:space="preserve">Page | </w:t>
    </w:r>
    <w:r w:rsidRPr="00304F56">
      <w:rPr>
        <w:rFonts w:ascii="Arial" w:hAnsi="Arial" w:cs="Arial"/>
        <w:sz w:val="20"/>
      </w:rPr>
      <w:fldChar w:fldCharType="begin"/>
    </w:r>
    <w:r w:rsidRPr="00304F56">
      <w:rPr>
        <w:rFonts w:ascii="Arial" w:hAnsi="Arial" w:cs="Arial"/>
        <w:sz w:val="20"/>
      </w:rPr>
      <w:instrText xml:space="preserve"> PAGE   \* MERGEFORMAT </w:instrText>
    </w:r>
    <w:r w:rsidRPr="00304F56">
      <w:rPr>
        <w:rFonts w:ascii="Arial" w:hAnsi="Arial" w:cs="Arial"/>
        <w:sz w:val="20"/>
      </w:rPr>
      <w:fldChar w:fldCharType="separate"/>
    </w:r>
    <w:r w:rsidR="00454D1B">
      <w:rPr>
        <w:rFonts w:ascii="Arial" w:hAnsi="Arial" w:cs="Arial"/>
        <w:noProof/>
        <w:sz w:val="20"/>
      </w:rPr>
      <w:t>8</w:t>
    </w:r>
    <w:r w:rsidRPr="00304F56">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E99" w:rsidRDefault="00C40E99" w:rsidP="00B3580E">
      <w:r>
        <w:separator/>
      </w:r>
    </w:p>
  </w:footnote>
  <w:footnote w:type="continuationSeparator" w:id="0">
    <w:p w:rsidR="00C40E99" w:rsidRDefault="00C40E99" w:rsidP="00B3580E">
      <w:r>
        <w:continuationSeparator/>
      </w:r>
    </w:p>
  </w:footnote>
  <w:footnote w:id="1">
    <w:p w:rsidR="002D76EA" w:rsidRPr="009352E2" w:rsidRDefault="002D76EA" w:rsidP="002D76EA">
      <w:pPr>
        <w:pStyle w:val="FootnoteText"/>
        <w:spacing w:line="240" w:lineRule="auto"/>
        <w:ind w:right="10"/>
        <w:rPr>
          <w:szCs w:val="20"/>
        </w:rPr>
      </w:pPr>
      <w:r w:rsidRPr="009352E2">
        <w:rPr>
          <w:rStyle w:val="FootnoteReference"/>
          <w:szCs w:val="20"/>
        </w:rPr>
        <w:footnoteRef/>
      </w:r>
      <w:r w:rsidRPr="009352E2">
        <w:rPr>
          <w:szCs w:val="20"/>
        </w:rPr>
        <w:t xml:space="preserve"> </w:t>
      </w:r>
      <w:r w:rsidRPr="009352E2">
        <w:rPr>
          <w:szCs w:val="20"/>
        </w:rPr>
        <w:fldChar w:fldCharType="begin" w:fldLock="1"/>
      </w:r>
      <w:r w:rsidRPr="009352E2">
        <w:rPr>
          <w:szCs w:val="20"/>
        </w:rPr>
        <w:instrText>ADDIN CSL_CITATION { "citationItems" : [ { "id" : "ITEM-1", "itemData" : { "author" : [ { "dropping-particle" : "", "family" : "Gordon", "given" : "Greg", "non-dropping-particle" : "", "parse-names" : false, "suffix" : "" } ], "container-title" : "Oil and Gas Law: Current Practice &amp; Emerging Trends", "editor" : [ { "dropping-particle" : "", "family" : "Gordon", "given" : "Greg", "non-dropping-particle" : "", "parse-names" : false, "suffix" : "" }, { "dropping-particle" : "", "family" : "Paterson", "given" : "John", "non-dropping-particle" : "", "parse-names" : false, "suffix" : "" }, { "dropping-particle" : "", "family" : "Usenmez", "given" : "Emre", "non-dropping-particle" : "", "parse-names" : false, "suffix" : "" } ], "id" : "ITEM-1", "issued" : { "date-parts" : [ [ "2011" ] ] }, "publisher" : "Dundee University Press", "title" : "Risk Allocation in Oil and Gas Contracts", "type" : "chapter", "volume" : "2nd" }, "locator" : "443", "uris" : [ "http://www.mendeley.com/documents/?uuid=af2427da-32f1-4233-bab9-40a1ea67aefe" ] } ], "mendeley" : { "formattedCitation" : "Greg Gordon, \u2018Risk Allocation in Oil and Gas Contracts\u2019 in Greg Gordon, John Paterson and Emre Usenmez (eds), &lt;i&gt;Oil and Gas Law: Current Practice &amp; Emerging Trends&lt;/i&gt;, vol 2nd (Dundee University Press 2011) 443.", "plainTextFormattedCitation" : "Greg Gordon, \u2018Risk Allocation in Oil and Gas Contracts\u2019 in Greg Gordon, John Paterson and Emre Usenmez (eds), Oil and Gas Law: Current Practice &amp; Emerging Trends, vol 2nd (Dundee University Press 2011) 443.", "previouslyFormattedCitation" : "Greg Gordon, \u2018Risk Allocation in Oil and Gas Contracts\u2019 in Greg Gordon, John Paterson and Emre Usenmez (eds), &lt;i&gt;Oil and Gas Law: Current Practice &amp; Emerging Trends&lt;/i&gt;, vol 2nd (Dundee University Press 2011) 443." }, "properties" : { "noteIndex" : 0 }, "schema" : "https://github.com/citation-style-language/schema/raw/master/csl-citation.json" }</w:instrText>
      </w:r>
      <w:r w:rsidRPr="009352E2">
        <w:rPr>
          <w:szCs w:val="20"/>
        </w:rPr>
        <w:fldChar w:fldCharType="separate"/>
      </w:r>
      <w:r w:rsidRPr="009352E2">
        <w:rPr>
          <w:noProof/>
          <w:szCs w:val="20"/>
        </w:rPr>
        <w:t xml:space="preserve">Greg Gordon, ‘Risk Allocation in Oil and Gas Contracts’ in Greg Gordon, John Paterson and Emre Usenmez (eds), </w:t>
      </w:r>
      <w:r w:rsidRPr="009352E2">
        <w:rPr>
          <w:i/>
          <w:noProof/>
          <w:szCs w:val="20"/>
        </w:rPr>
        <w:t>Oil and Gas Law: Current Practice &amp; Emerging Trends</w:t>
      </w:r>
      <w:r w:rsidRPr="009352E2">
        <w:rPr>
          <w:noProof/>
          <w:szCs w:val="20"/>
        </w:rPr>
        <w:t>, vol 2nd (Dundee University Press 2011) 443.</w:t>
      </w:r>
      <w:r w:rsidRPr="009352E2">
        <w:rPr>
          <w:szCs w:val="20"/>
        </w:rPr>
        <w:fldChar w:fldCharType="end"/>
      </w:r>
    </w:p>
  </w:footnote>
  <w:footnote w:id="2">
    <w:p w:rsidR="002D76EA" w:rsidRPr="009352E2" w:rsidRDefault="002D76EA" w:rsidP="002D76EA">
      <w:pPr>
        <w:pStyle w:val="Default"/>
        <w:ind w:right="10"/>
        <w:jc w:val="both"/>
        <w:rPr>
          <w:color w:val="auto"/>
          <w:sz w:val="20"/>
          <w:szCs w:val="20"/>
        </w:rPr>
      </w:pPr>
      <w:r w:rsidRPr="002D76EA">
        <w:rPr>
          <w:rStyle w:val="FootnoteReference"/>
          <w:color w:val="auto"/>
          <w:sz w:val="20"/>
          <w:szCs w:val="20"/>
        </w:rPr>
        <w:footnoteRef/>
      </w:r>
      <w:r w:rsidRPr="009352E2">
        <w:rPr>
          <w:color w:val="auto"/>
          <w:sz w:val="20"/>
          <w:szCs w:val="20"/>
        </w:rPr>
        <w:t xml:space="preserve"> </w:t>
      </w:r>
      <w:r w:rsidRPr="009352E2">
        <w:rPr>
          <w:color w:val="auto"/>
          <w:sz w:val="20"/>
          <w:szCs w:val="20"/>
        </w:rPr>
        <w:fldChar w:fldCharType="begin" w:fldLock="1"/>
      </w:r>
      <w:r w:rsidRPr="009352E2">
        <w:rPr>
          <w:color w:val="auto"/>
          <w:sz w:val="20"/>
          <w:szCs w:val="20"/>
        </w:rPr>
        <w:instrText>ADDIN CSL_CITATION { "citationItems" : [ { "id" : "ITEM-1", "itemData" : { "abstract" : "Accidents can and do happen. In the upstream oil and gas sector, this has been graphically illustrated by the recent spate of disasters involving exploration and production infrastructure including: the ongoing mud flow disaster in East Java, Indonesia, the October 2007 collision in the Gulf of Mexico of a jack-up rig with an offshore production platform and, in a chilling echo of the Piper Alpha disaster, the November 2007 fire on board the Thistle Alpha platform in the UK North Sea. This article looks at some of the liability allocation mechanisms in upstream project contracts, which commonly come into play when disaster strikes, and instances where such mechanisms have been considered by the courts. The allocation of liabilities in upstream oil and gas project contracts is a key concern to negotiators and drafters alike. Perhaps, along with the description of the basic subject matter of the contract and the price, settling the allocation of risk (and therefore, potential liabilities) is the key consideration and, inevitably, the parties' respective legal advisers will be at the forefront of this process. This article aims to provide a brief survey of some of the more commonly used liability allocation models and some instances where such models have been considered before the courts. The offshore oil and gas industry is a very risky business with huge capital sums invested and lives at stake. It is not surprising, therefore, that the industry has developed liability allocation models to deal with the risks and that such models are frequently put to the test -more frequently than is sometimes realised. It may be a measure of the relative success of those", "author" : [ { "dropping-particle" : "", "family" : "Hewitt", "given" : "Toby", "non-dropping-particle" : "", "parse-names" : false, "suffix" : "" } ], "container-title" : "J. Energy Nat. Resources L.", "id" : "ITEM-1", "issue" : "2", "issued" : { "date-parts" : [ [ "2008" ] ] }, "page" : "177", "title" : "Who is to Blame? Allocating Liability in Upstream Project Contracts", "type" : "article-journal", "volume" : "26" }, "locator" : "183", "uris" : [ "http://www.mendeley.com/documents/?uuid=6652faae-2b4b-4091-bcde-401088d04a64" ] } ], "mendeley" : { "formattedCitation" : "Toby Hewitt, \u2018Who Is to Blame? Allocating Liability in Upstream Project Contracts\u2019 (2008) 26 J. Energy Nat. Resources L. 177, 183.", "plainTextFormattedCitation" : "Toby Hewitt, \u2018Who Is to Blame? Allocating Liability in Upstream Project Contracts\u2019 (2008) 26 J. Energy Nat. Resources L. 177, 183.", "previouslyFormattedCitation" : "Toby Hewitt, \u2018Who Is to Blame? Allocating Liability in Upstream Project Contracts\u2019 (2008) 26 J. Energy Nat. Resources L. 177, 183." }, "properties" : { "noteIndex" : 0 }, "schema" : "https://github.com/citation-style-language/schema/raw/master/csl-citation.json" }</w:instrText>
      </w:r>
      <w:r w:rsidRPr="009352E2">
        <w:rPr>
          <w:color w:val="auto"/>
          <w:sz w:val="20"/>
          <w:szCs w:val="20"/>
        </w:rPr>
        <w:fldChar w:fldCharType="separate"/>
      </w:r>
      <w:r w:rsidRPr="009352E2">
        <w:rPr>
          <w:noProof/>
          <w:color w:val="auto"/>
          <w:sz w:val="20"/>
          <w:szCs w:val="20"/>
        </w:rPr>
        <w:t>Toby Hewitt, ‘Who Is to Blame? Allocating Liability in Upstream Project Contracts’ (2008) 26 J. Energy Nat. Resources L. 177, 183.</w:t>
      </w:r>
      <w:r w:rsidRPr="009352E2">
        <w:rPr>
          <w:color w:val="auto"/>
          <w:sz w:val="20"/>
          <w:szCs w:val="20"/>
        </w:rPr>
        <w:fldChar w:fldCharType="end"/>
      </w:r>
    </w:p>
  </w:footnote>
  <w:footnote w:id="3">
    <w:p w:rsidR="002D76EA" w:rsidRPr="009352E2" w:rsidRDefault="002D76EA" w:rsidP="002D76EA">
      <w:pPr>
        <w:pStyle w:val="FootnoteText"/>
        <w:spacing w:line="240" w:lineRule="auto"/>
        <w:ind w:right="10"/>
        <w:rPr>
          <w:bCs/>
          <w:szCs w:val="20"/>
        </w:rPr>
      </w:pPr>
      <w:r w:rsidRPr="009352E2">
        <w:rPr>
          <w:rStyle w:val="FootnoteReference"/>
          <w:szCs w:val="20"/>
        </w:rPr>
        <w:footnoteRef/>
      </w:r>
      <w:r w:rsidRPr="009352E2">
        <w:rPr>
          <w:szCs w:val="20"/>
        </w:rPr>
        <w:t xml:space="preserve"> </w:t>
      </w:r>
      <w:r w:rsidRPr="009352E2">
        <w:rPr>
          <w:szCs w:val="20"/>
        </w:rPr>
        <w:fldChar w:fldCharType="begin" w:fldLock="1"/>
      </w:r>
      <w:r w:rsidRPr="009352E2">
        <w:rPr>
          <w:szCs w:val="20"/>
        </w:rPr>
        <w:instrText>ADDIN CSL_CITATION { "citationItems" : [ { "id" : "ITEM-1", "itemData" : { "author" : [ { "dropping-particle" : "", "family" : "Jeffrey Chiang Choong Luin", "given" : "", "non-dropping-particle" : "", "parse-names" : false, "suffix" : "" } ], "container-title" : "JURUTERA", "id" : "ITEM-1", "issued" : { "date-parts" : [ [ "2012" ] ] }, "publisher-place" : "Malaysia", "title" : "One more lesson in safety", "type" : "article-magazine" }, "locator" : "1", "prefix" : "The Institution of Engineers, Malaysia", "suppress-author" : 1, "uris" : [ "http://www.mendeley.com/documents/?uuid=73404ac6-b667-3d50-929e-267ea71aa1a6" ] } ], "mendeley" : { "formattedCitation" : "The Institution of Engineers, Malaysia \u2018One More Lesson in Safety\u2019 [2012] &lt;i&gt;JURUTERA&lt;/i&gt; 1.", "plainTextFormattedCitation" : "The Institution of Engineers, Malaysia \u2018One More Lesson in Safety\u2019 [2012] JURUTERA 1.", "previouslyFormattedCitation" : "The Institution of Engineers, Malaysia \u2018One More Lesson in Safety\u2019 [2012] &lt;i&gt;JURUTERA&lt;/i&gt; 1." }, "properties" : { "noteIndex" : 0 }, "schema" : "https://github.com/citation-style-language/schema/raw/master/csl-citation.json" }</w:instrText>
      </w:r>
      <w:r w:rsidRPr="009352E2">
        <w:rPr>
          <w:szCs w:val="20"/>
        </w:rPr>
        <w:fldChar w:fldCharType="separate"/>
      </w:r>
      <w:r w:rsidRPr="009352E2">
        <w:rPr>
          <w:noProof/>
          <w:szCs w:val="20"/>
        </w:rPr>
        <w:t xml:space="preserve">The Institution of Engineers, Malaysia ‘One More Lesson in Safety’ [2012] </w:t>
      </w:r>
      <w:r w:rsidRPr="009352E2">
        <w:rPr>
          <w:i/>
          <w:noProof/>
          <w:szCs w:val="20"/>
        </w:rPr>
        <w:t>JURUTERA</w:t>
      </w:r>
      <w:r w:rsidRPr="009352E2">
        <w:rPr>
          <w:noProof/>
          <w:szCs w:val="20"/>
        </w:rPr>
        <w:t xml:space="preserve"> 1.</w:t>
      </w:r>
      <w:r w:rsidRPr="009352E2">
        <w:rPr>
          <w:szCs w:val="20"/>
        </w:rPr>
        <w:fldChar w:fldCharType="end"/>
      </w:r>
    </w:p>
  </w:footnote>
  <w:footnote w:id="4">
    <w:p w:rsidR="002D76EA" w:rsidRPr="0063337A" w:rsidRDefault="002D76EA" w:rsidP="002D76EA">
      <w:pPr>
        <w:pStyle w:val="FootnoteText"/>
        <w:spacing w:line="240" w:lineRule="auto"/>
        <w:ind w:right="10"/>
        <w:rPr>
          <w:szCs w:val="20"/>
          <w:lang w:val="en-US"/>
        </w:rPr>
      </w:pPr>
      <w:r w:rsidRPr="009352E2">
        <w:rPr>
          <w:rStyle w:val="FootnoteReference"/>
          <w:szCs w:val="20"/>
        </w:rPr>
        <w:footnoteRef/>
      </w:r>
      <w:r w:rsidRPr="009352E2">
        <w:rPr>
          <w:szCs w:val="20"/>
        </w:rPr>
        <w:t xml:space="preserve"> Ibid.</w:t>
      </w:r>
    </w:p>
  </w:footnote>
  <w:footnote w:id="5">
    <w:p w:rsidR="002D76EA" w:rsidRPr="0063337A" w:rsidRDefault="002D76EA" w:rsidP="002D76EA">
      <w:pPr>
        <w:pStyle w:val="FootnoteText"/>
        <w:spacing w:line="240" w:lineRule="auto"/>
        <w:ind w:right="10"/>
        <w:rPr>
          <w:szCs w:val="20"/>
          <w:lang w:val="en-US"/>
        </w:rPr>
      </w:pPr>
      <w:r w:rsidRPr="00907C87">
        <w:rPr>
          <w:rStyle w:val="FootnoteReference"/>
          <w:szCs w:val="20"/>
        </w:rPr>
        <w:footnoteRef/>
      </w:r>
      <w:r w:rsidRPr="00907C87">
        <w:rPr>
          <w:szCs w:val="20"/>
        </w:rPr>
        <w:t xml:space="preserve"> </w:t>
      </w:r>
      <w:r w:rsidRPr="0038524D">
        <w:rPr>
          <w:szCs w:val="20"/>
          <w:lang w:val="en-US"/>
        </w:rPr>
        <w:fldChar w:fldCharType="begin" w:fldLock="1"/>
      </w:r>
      <w:r w:rsidRPr="0038524D">
        <w:rPr>
          <w:szCs w:val="20"/>
          <w:lang w:val="en-US"/>
        </w:rPr>
        <w:instrText>ADDIN CSL_CITATION { "citationItems" : [ { "id" : "ITEM-1", "itemData" : { "URL" : "http://www.thestar.com.my/story/?file=/2012/7/29/nation/20120729154839&amp;sec=nation", "accessed" : { "date-parts" : [ [ "2013", "11", "10" ] ] }, "author" : [ { "dropping-particle" : "", "family" : "Sario", "given" : "Ruben", "non-dropping-particle" : "", "parse-names" : false, "suffix" : "" } ], "container-title" : "The Star", "id" : "ITEM-1", "issued" : { "date-parts" : [ [ "2012", "7", "29" ] ] }, "title" : "Tanker fire: Firemen board ship, work to plug diesel leak", "type" : "webpage" }, "uris" : [ "http://www.mendeley.com/documents/?uuid=2a365ae1-6078-3d2d-9a53-de645379fc95" ] } ], "mendeley" : { "formattedCitation" : "Ruben Sario, \u2018Tanker Fire: Firemen Board Ship, Work to Plug Diesel Leak\u2019 (&lt;i&gt;The Star&lt;/i&gt;, 29 July 2012) &lt;http://www.thestar.com.my/story/?file=/2012/7/29/nation/20120729154839&amp;sec=nation&gt; accessed 10 November 2013.", "plainTextFormattedCitation" : "Ruben Sario, \u2018Tanker Fire: Firemen Board Ship, Work to Plug Diesel Leak\u2019 (The Star, 29 July 2012)  accessed 10 November 2013.", "previouslyFormattedCitation" : "Ruben Sario, \u2018Tanker Fire: Firemen Board Ship, Work to Plug Diesel Leak\u2019 (&lt;i&gt;The Star&lt;/i&gt;, 29 July 2012) &lt;http://www.thestar.com.my/story/?file=/2012/7/29/nation/20120729154839&amp;sec=nation&gt; accessed 10 November 2013." }, "properties" : { "noteIndex" : 0 }, "schema" : "https://github.com/citation-style-language/schema/raw/master/csl-citation.json" }</w:instrText>
      </w:r>
      <w:r w:rsidRPr="0038524D">
        <w:rPr>
          <w:szCs w:val="20"/>
          <w:lang w:val="en-US"/>
        </w:rPr>
        <w:fldChar w:fldCharType="separate"/>
      </w:r>
      <w:r w:rsidRPr="0038524D">
        <w:rPr>
          <w:noProof/>
          <w:szCs w:val="20"/>
          <w:lang w:val="en-US"/>
        </w:rPr>
        <w:t>Ruben Sario, ‘Tanker Fire: Firemen Board Ship, Work to Plug Diesel Leak’ (</w:t>
      </w:r>
      <w:r w:rsidRPr="0038524D">
        <w:rPr>
          <w:i/>
          <w:noProof/>
          <w:szCs w:val="20"/>
          <w:lang w:val="en-US"/>
        </w:rPr>
        <w:t>The Star</w:t>
      </w:r>
      <w:r w:rsidRPr="0038524D">
        <w:rPr>
          <w:noProof/>
          <w:szCs w:val="20"/>
          <w:lang w:val="en-US"/>
        </w:rPr>
        <w:t>, 29 July 2012) &lt;http://www.thestar.com.my/story/?file=/2012/7/29/nation/20120729154839&amp;sec=nation&gt; accessed 10 November 2013.</w:t>
      </w:r>
      <w:r w:rsidRPr="0038524D">
        <w:rPr>
          <w:szCs w:val="20"/>
          <w:lang w:val="en-US"/>
        </w:rPr>
        <w:fldChar w:fldCharType="end"/>
      </w:r>
    </w:p>
  </w:footnote>
  <w:footnote w:id="6">
    <w:p w:rsidR="002D76EA" w:rsidRPr="00907C87" w:rsidRDefault="002D76EA" w:rsidP="002D76EA">
      <w:pPr>
        <w:pStyle w:val="FootnoteText"/>
        <w:spacing w:line="240" w:lineRule="auto"/>
        <w:ind w:right="10"/>
        <w:rPr>
          <w:szCs w:val="20"/>
        </w:rPr>
      </w:pPr>
      <w:r w:rsidRPr="00907C87">
        <w:rPr>
          <w:rStyle w:val="FootnoteReference"/>
          <w:szCs w:val="20"/>
        </w:rPr>
        <w:footnoteRef/>
      </w:r>
      <w:r w:rsidRPr="00907C87">
        <w:rPr>
          <w:szCs w:val="20"/>
        </w:rPr>
        <w:t xml:space="preserve"> </w:t>
      </w:r>
      <w:r w:rsidRPr="00291F97">
        <w:rPr>
          <w:szCs w:val="20"/>
        </w:rPr>
        <w:fldChar w:fldCharType="begin" w:fldLock="1"/>
      </w:r>
      <w:r w:rsidRPr="0038524D">
        <w:rPr>
          <w:szCs w:val="20"/>
        </w:rPr>
        <w:instrText>ADDIN CSL_CITATION { "citationItems" : [ { "id" : "ITEM-1", "itemData" : { "URL" : "http://www.rigzone.com/news/oil_gas/a/119752/Fatal_Accidents_at_Petronas_Sites_Forces_Relook_at_Safety_Standards", "accessed" : { "date-parts" : [ [ "2013", "11", "6" ] ] }, "author" : [ { "dropping-particle" : "", "family" : "Koh", "given" : "Quintella", "non-dropping-particle" : "", "parse-names" : false, "suffix" : "" } ], "container-title" : "Rigzone", "id" : "ITEM-1", "issued" : { "date-parts" : [ [ "2012", "8", "1" ] ] }, "title" : "Fatal Accidents at Petronas Sites Forces Relook at Safety Standards", "type" : "webpage" }, "uris" : [ "http://www.mendeley.com/documents/?uuid=846583f0-ea1c-368e-92c6-110c365f6edf" ] } ], "mendeley" : { "formattedCitation" : "Quintella Koh, \u2018Fatal Accidents at Petronas Sites Forces Relook at Safety Standards\u2019 (&lt;i&gt;Rigzone&lt;/i&gt;, 1 August 2012) &lt;http://www.rigzone.com/news/oil_gas/a/119752/Fatal_Accidents_at_Petronas_Sites_Forces_Relook_at_Safety_Standards&gt; accessed 6 November 2013.", "manualFormatting" : "Quintella Koh, \u2018Fatal Accidents at Petronas Sites Forces Relook at Safety Standards\u2019 (Rigzone, 1 August 2012).  accessed 6 November 2013.", "plainTextFormattedCitation" : "Quintella Koh, \u2018Fatal Accidents at Petronas Sites Forces Relook at Safety Standards\u2019 (Rigzone, 1 August 2012)  accessed 6 November 2013.", "previouslyFormattedCitation" : "Quintella Koh, \u2018Fatal Accidents at Petronas Sites Forces Relook at Safety Standards\u2019 (&lt;i&gt;Rigzone&lt;/i&gt;, 1 August 2012) &lt;http://www.rigzone.com/news/oil_gas/a/119752/Fatal_Accidents_at_Petronas_Sites_Forces_Relook_at_Safety_Standards&gt; accessed 6 November 2013." }, "properties" : { "noteIndex" : 0 }, "schema" : "https://github.com/citation-style-language/schema/raw/master/csl-citation.json" }</w:instrText>
      </w:r>
      <w:r w:rsidRPr="00291F97">
        <w:rPr>
          <w:szCs w:val="20"/>
        </w:rPr>
        <w:fldChar w:fldCharType="separate"/>
      </w:r>
      <w:r w:rsidRPr="0038524D">
        <w:rPr>
          <w:noProof/>
          <w:szCs w:val="20"/>
        </w:rPr>
        <w:t>Quintella Koh, ‘Fatal Accidents at Petronas Sites Forces Relook at Safety Standards’ (</w:t>
      </w:r>
      <w:r w:rsidRPr="0038524D">
        <w:rPr>
          <w:i/>
          <w:noProof/>
          <w:szCs w:val="20"/>
        </w:rPr>
        <w:t>Rigzone</w:t>
      </w:r>
      <w:r w:rsidRPr="0038524D">
        <w:rPr>
          <w:noProof/>
          <w:szCs w:val="20"/>
        </w:rPr>
        <w:t>, 1 August 2012). &lt;http://www.rigzone.com/news/oil_gas/a/119752/Fatal_Accidents_at_Petronas_Sites_Forces_Relook_at_Safety_Standards&gt; accessed 6 November 2013.</w:t>
      </w:r>
      <w:r w:rsidRPr="00291F97">
        <w:rPr>
          <w:szCs w:val="20"/>
        </w:rPr>
        <w:fldChar w:fldCharType="end"/>
      </w:r>
    </w:p>
  </w:footnote>
  <w:footnote w:id="7">
    <w:p w:rsidR="002D76EA" w:rsidRPr="0063337A" w:rsidRDefault="002D76EA" w:rsidP="002D76EA">
      <w:pPr>
        <w:pStyle w:val="FootnoteText"/>
        <w:spacing w:line="240" w:lineRule="auto"/>
        <w:ind w:right="10"/>
        <w:rPr>
          <w:szCs w:val="20"/>
        </w:rPr>
      </w:pPr>
      <w:r w:rsidRPr="00907C87">
        <w:rPr>
          <w:rStyle w:val="FootnoteReference"/>
          <w:szCs w:val="20"/>
        </w:rPr>
        <w:footnoteRef/>
      </w:r>
      <w:r w:rsidRPr="00907C87">
        <w:rPr>
          <w:szCs w:val="20"/>
        </w:rPr>
        <w:t xml:space="preserve"> Ibid</w:t>
      </w:r>
      <w:r w:rsidRPr="0038524D">
        <w:rPr>
          <w:szCs w:val="20"/>
        </w:rPr>
        <w:t>.</w:t>
      </w:r>
    </w:p>
  </w:footnote>
  <w:footnote w:id="8">
    <w:p w:rsidR="002D76EA" w:rsidRPr="0063337A" w:rsidRDefault="002D76EA" w:rsidP="002D76EA">
      <w:pPr>
        <w:pStyle w:val="FootnoteText"/>
        <w:spacing w:line="240" w:lineRule="auto"/>
        <w:ind w:right="10"/>
        <w:rPr>
          <w:szCs w:val="20"/>
        </w:rPr>
      </w:pPr>
      <w:r w:rsidRPr="00907C87">
        <w:rPr>
          <w:rStyle w:val="FootnoteReference"/>
          <w:szCs w:val="20"/>
        </w:rPr>
        <w:footnoteRef/>
      </w:r>
      <w:r w:rsidRPr="00907C87">
        <w:rPr>
          <w:szCs w:val="20"/>
        </w:rPr>
        <w:t xml:space="preserve">  </w:t>
      </w:r>
      <w:r w:rsidRPr="0038524D">
        <w:rPr>
          <w:szCs w:val="20"/>
        </w:rPr>
        <w:fldChar w:fldCharType="begin" w:fldLock="1"/>
      </w:r>
      <w:r w:rsidRPr="0038524D">
        <w:rPr>
          <w:szCs w:val="20"/>
        </w:rPr>
        <w:instrText>ADDIN CSL_CITATION { "citationItems" : [ { "id" : "ITEM-1", "itemData" : { "URL" : "http://www.misc.com.my/2012-@-MISC_-_Bunga_Alpinia_Update_7.aspx", "accessed" : { "date-parts" : [ [ "2013", "11", "6" ] ] }, "container-title" : "MISC", "id" : "ITEM-1", "issued" : { "date-parts" : [ [ "2012", "7", "30" ] ] }, "title" : "MISC - Bunga Alpinia Update 7", "type" : "webpage" }, "suffix" : "accessed on 25 October 2013", "uris" : [ "http://www.mendeley.com/documents/?uuid=a0712f00-4c14-362b-8ec7-e4ad76a450c3" ] } ], "mendeley" : { "formattedCitation" : "\u2018MISC - Bunga Alpinia Update 7\u2019 (&lt;i&gt;MISC&lt;/i&gt;, 30 July 2012) &lt;http://www.misc.com.my/2012-@-MISC_-_Bunga_Alpinia_Update_7.aspx&gt; accessed 6 November 2013 accessed on 25 October 2013.", "plainTextFormattedCitation" : "\u2018MISC - Bunga Alpinia Update 7\u2019 (MISC, 30 July 2012)  accessed 6 November 2013 accessed on 25 October 2013.", "previouslyFormattedCitation" : "\u2018MISC - Bunga Alpinia Update 7\u2019 (&lt;i&gt;MISC&lt;/i&gt;, 30 July 2012) &lt;http://www.misc.com.my/2012-@-MISC_-_Bunga_Alpinia_Update_7.aspx&gt; accessed 6 November 2013 accessed on 25 October 2013." }, "properties" : { "noteIndex" : 0 }, "schema" : "https://github.com/citation-style-language/schema/raw/master/csl-citation.json" }</w:instrText>
      </w:r>
      <w:r w:rsidRPr="0038524D">
        <w:rPr>
          <w:szCs w:val="20"/>
        </w:rPr>
        <w:fldChar w:fldCharType="separate"/>
      </w:r>
      <w:r w:rsidRPr="0038524D">
        <w:rPr>
          <w:noProof/>
          <w:szCs w:val="20"/>
        </w:rPr>
        <w:t>‘MISC - Bunga Alpinia Update 7’ (</w:t>
      </w:r>
      <w:r w:rsidRPr="0038524D">
        <w:rPr>
          <w:i/>
          <w:noProof/>
          <w:szCs w:val="20"/>
        </w:rPr>
        <w:t>MISC</w:t>
      </w:r>
      <w:r w:rsidRPr="0038524D">
        <w:rPr>
          <w:noProof/>
          <w:szCs w:val="20"/>
        </w:rPr>
        <w:t>, 30 July 2012) &lt;http://www.misc.com.my/2012-@-MISC_-_Bunga_Alpinia_Update_7.aspx&gt; accessed 6 November 2013.</w:t>
      </w:r>
      <w:r w:rsidRPr="0038524D">
        <w:rPr>
          <w:szCs w:val="20"/>
        </w:rPr>
        <w:fldChar w:fldCharType="end"/>
      </w:r>
    </w:p>
  </w:footnote>
  <w:footnote w:id="9">
    <w:p w:rsidR="002D76EA" w:rsidRPr="0063337A" w:rsidRDefault="002D76EA" w:rsidP="002D76EA">
      <w:pPr>
        <w:pStyle w:val="FootnoteText"/>
        <w:spacing w:line="240" w:lineRule="auto"/>
        <w:ind w:right="10"/>
        <w:rPr>
          <w:szCs w:val="20"/>
        </w:rPr>
      </w:pPr>
      <w:r w:rsidRPr="00907C87">
        <w:rPr>
          <w:rStyle w:val="FootnoteReference"/>
          <w:szCs w:val="20"/>
        </w:rPr>
        <w:footnoteRef/>
      </w:r>
      <w:r w:rsidRPr="00907C87">
        <w:rPr>
          <w:szCs w:val="20"/>
        </w:rPr>
        <w:t xml:space="preserve"> </w:t>
      </w:r>
      <w:r w:rsidRPr="0038524D">
        <w:rPr>
          <w:szCs w:val="20"/>
        </w:rPr>
        <w:fldChar w:fldCharType="begin" w:fldLock="1"/>
      </w:r>
      <w:r w:rsidRPr="0038524D">
        <w:rPr>
          <w:szCs w:val="20"/>
        </w:rPr>
        <w:instrText>ADDIN CSL_CITATION { "citationItems" : [ { "id" : "ITEM-1", "itemData" : { "URL" : "http://maritime.bernama.com/news.php?id=683332&amp;lang=en", "accessed" : { "date-parts" : [ [ "2013", "12", "5" ] ] }, "container-title" : "BERNAMA", "id" : "ITEM-1", "issued" : { "date-parts" : [ [ "2012", "7", "26" ] ] }, "title" : "Fire On MISC Tanker Claims One Life", "type" : "webpage" }, "uris" : [ "http://www.mendeley.com/documents/?uuid=7289a4da-aead-34f9-9664-849935085f5b" ] } ], "mendeley" : { "formattedCitation" : "\u2018Fire On MISC Tanker Claims One Life\u2019 (&lt;i&gt;BERNAMA&lt;/i&gt;, 26 July 2012) &lt;http://maritime.bernama.com/news.php?id=683332&amp;lang=en&gt; accessed 5 December 2013.", "plainTextFormattedCitation" : "\u2018Fire On MISC Tanker Claims One Life\u2019 (BERNAMA, 26 July 2012)  accessed 5 December 2013.", "previouslyFormattedCitation" : "\u2018Fire On MISC Tanker Claims One Life\u2019 (&lt;i&gt;BERNAMA&lt;/i&gt;, 26 July 2012) &lt;http://maritime.bernama.com/news.php?id=683332&amp;lang=en&gt; accessed 5 December 2013." }, "properties" : { "noteIndex" : 0 }, "schema" : "https://github.com/citation-style-language/schema/raw/master/csl-citation.json" }</w:instrText>
      </w:r>
      <w:r w:rsidRPr="0038524D">
        <w:rPr>
          <w:szCs w:val="20"/>
        </w:rPr>
        <w:fldChar w:fldCharType="separate"/>
      </w:r>
      <w:r w:rsidRPr="0038524D">
        <w:rPr>
          <w:noProof/>
          <w:szCs w:val="20"/>
        </w:rPr>
        <w:t>‘Fire On MISC Tanker Claims One Life’ (</w:t>
      </w:r>
      <w:r w:rsidRPr="0038524D">
        <w:rPr>
          <w:i/>
          <w:noProof/>
          <w:szCs w:val="20"/>
        </w:rPr>
        <w:t>BERNAMA</w:t>
      </w:r>
      <w:r w:rsidRPr="0038524D">
        <w:rPr>
          <w:noProof/>
          <w:szCs w:val="20"/>
        </w:rPr>
        <w:t>, 26 July 2012) &lt;http://maritime.bernama.com/news.php?id=683332&amp;lang=en&gt; accessed 5 December 2013.</w:t>
      </w:r>
      <w:r w:rsidRPr="0038524D">
        <w:rPr>
          <w:szCs w:val="20"/>
        </w:rPr>
        <w:fldChar w:fldCharType="end"/>
      </w:r>
    </w:p>
  </w:footnote>
  <w:footnote w:id="10">
    <w:p w:rsidR="002D76EA" w:rsidRPr="0063337A" w:rsidRDefault="002D76EA" w:rsidP="002D76EA">
      <w:pPr>
        <w:pStyle w:val="FootnoteText"/>
        <w:spacing w:line="240" w:lineRule="auto"/>
        <w:ind w:right="10"/>
        <w:rPr>
          <w:szCs w:val="20"/>
          <w:lang w:val="en-US"/>
        </w:rPr>
      </w:pPr>
      <w:r w:rsidRPr="00907C87">
        <w:rPr>
          <w:rStyle w:val="FootnoteReference"/>
          <w:szCs w:val="20"/>
        </w:rPr>
        <w:footnoteRef/>
      </w:r>
      <w:r w:rsidRPr="00907C87">
        <w:rPr>
          <w:szCs w:val="20"/>
        </w:rPr>
        <w:t xml:space="preserve"> </w:t>
      </w:r>
      <w:r w:rsidRPr="0038524D">
        <w:rPr>
          <w:szCs w:val="20"/>
        </w:rPr>
        <w:fldChar w:fldCharType="begin" w:fldLock="1"/>
      </w:r>
      <w:r w:rsidRPr="0038524D">
        <w:rPr>
          <w:szCs w:val="20"/>
        </w:rPr>
        <w:instrText>ADDIN CSL_CITATION { "citationItems" : [ { "id" : "ITEM-1", "itemData" : { "URL" : "http://www.theborneopost.com/2012/06/12/oil-platform-blast-scare/", "accessed" : { "date-parts" : [ [ "2014", "6", "12" ] ] }, "author" : [ { "dropping-particle" : "", "family" : "Abdullah", "given" : "Mohamad", "non-dropping-particle" : "", "parse-names" : false, "suffix" : "" }, { "dropping-particle" : "", "family" : "Francis", "given" : "Mary", "non-dropping-particle" : "", "parse-names" : false, "suffix" : "" }, { "dropping-particle" : "", "family" : "Kiew", "given" : "Philip", "non-dropping-particle" : "", "parse-names" : false, "suffix" : "" } ], "container-title" : "Borneo Post", "id" : "ITEM-1", "issued" : { "date-parts" : [ [ "2012", "6", "12" ] ] }, "title" : "Oil Platform Blast Scare", "type" : "webpage" }, "uris" : [ "http://www.mendeley.com/documents/?uuid=b817caa7-b651-34a3-b11f-ff3d6ce704b1" ] } ], "mendeley" : { "formattedCitation" : "Mohamad Abdullah, Mary Francis and Philip Kiew, \u2018Oil Platform Blast Scare\u2019 (&lt;i&gt;Borneo Post&lt;/i&gt;, 12 June 2012) &lt;http://www.theborneopost.com/2012/06/12/oil-platform-blast-scare/&gt; accessed 12 June 2014.", "plainTextFormattedCitation" : "Mohamad Abdullah, Mary Francis and Philip Kiew, \u2018Oil Platform Blast Scare\u2019 (Borneo Post, 12 June 2012)  accessed 12 June 2014.", "previouslyFormattedCitation" : "Mohamad Abdullah, Mary Francis and Philip Kiew, \u2018Oil Platform Blast Scare\u2019 (&lt;i&gt;Borneo Post&lt;/i&gt;, 12 June 2012) &lt;http://www.theborneopost.com/2012/06/12/oil-platform-blast-scare/&gt; accessed 12 June 2014." }, "properties" : { "noteIndex" : 0 }, "schema" : "https://github.com/citation-style-language/schema/raw/master/csl-citation.json" }</w:instrText>
      </w:r>
      <w:r w:rsidRPr="0038524D">
        <w:rPr>
          <w:szCs w:val="20"/>
        </w:rPr>
        <w:fldChar w:fldCharType="separate"/>
      </w:r>
      <w:r w:rsidRPr="0038524D">
        <w:rPr>
          <w:noProof/>
          <w:szCs w:val="20"/>
        </w:rPr>
        <w:t>Mohamad Abdullah, Mary Francis and Philip Kiew, ‘Oil Platform Blast Scare’ (</w:t>
      </w:r>
      <w:r w:rsidRPr="0038524D">
        <w:rPr>
          <w:i/>
          <w:noProof/>
          <w:szCs w:val="20"/>
        </w:rPr>
        <w:t>Borneo Post</w:t>
      </w:r>
      <w:r w:rsidRPr="0038524D">
        <w:rPr>
          <w:noProof/>
          <w:szCs w:val="20"/>
        </w:rPr>
        <w:t>, 12 June 2012) &lt;http://www.theborneopost.com/2012/06/12/oil-platform-blast-scare/&gt; accessed 12 June 2014.</w:t>
      </w:r>
      <w:r w:rsidRPr="0038524D">
        <w:rPr>
          <w:szCs w:val="20"/>
        </w:rPr>
        <w:fldChar w:fldCharType="end"/>
      </w:r>
    </w:p>
  </w:footnote>
  <w:footnote w:id="11">
    <w:p w:rsidR="002D76EA" w:rsidRPr="0063337A" w:rsidRDefault="002D76EA" w:rsidP="002D76EA">
      <w:pPr>
        <w:pStyle w:val="FootnoteText"/>
        <w:spacing w:line="240" w:lineRule="auto"/>
        <w:ind w:right="10"/>
        <w:rPr>
          <w:szCs w:val="20"/>
          <w:lang w:val="en-US"/>
        </w:rPr>
      </w:pPr>
      <w:r w:rsidRPr="00907C87">
        <w:rPr>
          <w:rStyle w:val="FootnoteReference"/>
          <w:szCs w:val="20"/>
        </w:rPr>
        <w:footnoteRef/>
      </w:r>
      <w:r w:rsidRPr="00907C87">
        <w:rPr>
          <w:szCs w:val="20"/>
        </w:rPr>
        <w:t xml:space="preserve"> </w:t>
      </w:r>
      <w:r w:rsidRPr="0038524D">
        <w:rPr>
          <w:szCs w:val="20"/>
        </w:rPr>
        <w:fldChar w:fldCharType="begin" w:fldLock="1"/>
      </w:r>
      <w:r w:rsidRPr="0038524D">
        <w:rPr>
          <w:szCs w:val="20"/>
        </w:rPr>
        <w:instrText>ADDIN CSL_CITATION { "citationItems" : [ { "id" : "ITEM-1", "itemData" : { "container-title" : "Offshore Energy Today ", "id" : "ITEM-1", "issued" : { "date-parts" : [ [ "2012", "6", "12" ] ] }, "title" : "Five Workers Injured in Fire Outbreak on Petronas Offshore Platform (Malaysia)", "type" : "article-newspaper" }, "suffix" : "accessed on 25 October 2013", "uris" : [ "http://www.mendeley.com/documents/?uuid=7d05a635-4f27-345a-89c3-3bbfbb4c6a42" ] } ], "mendeley" : { "formattedCitation" : "\u2018Five Workers Injured in Fire Outbreak on Petronas Offshore Platform (Malaysia)\u2019 &lt;i&gt;Offshore Energy Today &lt;/i&gt; (12 June 2012) &lt;http://www.offshoreenergytoday.com/five-workers-injured-in-fire-outbreak-on-petronas-offshore-platform-malaysia/&gt; accessed on 25 October 2013.", "plainTextFormattedCitation" : "\u2018Five Workers Injured in Fire Outbreak on Petronas Offshore Platform (Malaysia)\u2019 Offshore Energy Today  (12 June 2012)  accessed on 25 October 2013.", "previouslyFormattedCitation" : "\u2018Five Workers Injured in Fire Outbreak on Petronas Offshore Platform (Malaysia)\u2019 &lt;i&gt;Offshore Energy Today &lt;/i&gt; (12 June 2012) &lt;http://www.offshoreenergytoday.com/five-workers-injured-in-fire-outbreak-on-petronas-offshore-platform-malaysia/&gt; accessed on 25 October 2013." }, "properties" : { "noteIndex" : 0 }, "schema" : "https://github.com/citation-style-language/schema/raw/master/csl-citation.json" }</w:instrText>
      </w:r>
      <w:r w:rsidRPr="0038524D">
        <w:rPr>
          <w:szCs w:val="20"/>
        </w:rPr>
        <w:fldChar w:fldCharType="separate"/>
      </w:r>
      <w:r w:rsidRPr="0038524D">
        <w:rPr>
          <w:noProof/>
          <w:szCs w:val="20"/>
        </w:rPr>
        <w:t xml:space="preserve">‘Five Workers Injured in Fire Outbreak on Petronas Offshore Platform (Malaysia)’ </w:t>
      </w:r>
      <w:r w:rsidRPr="0038524D">
        <w:rPr>
          <w:i/>
          <w:noProof/>
          <w:szCs w:val="20"/>
        </w:rPr>
        <w:t xml:space="preserve">Offshore Energy Today </w:t>
      </w:r>
      <w:r w:rsidRPr="0038524D">
        <w:rPr>
          <w:noProof/>
          <w:szCs w:val="20"/>
        </w:rPr>
        <w:t xml:space="preserve"> (12 June 2012) &lt;http://www.offshoreenergytoday.com/five-workers-injured-in-fire-outbreak-on-petronas-offshore-platform-malaysia/&gt; accessed on 25 October 2013.</w:t>
      </w:r>
      <w:r w:rsidRPr="0038524D">
        <w:rPr>
          <w:szCs w:val="20"/>
        </w:rPr>
        <w:fldChar w:fldCharType="end"/>
      </w:r>
    </w:p>
  </w:footnote>
  <w:footnote w:id="12">
    <w:p w:rsidR="002D76EA" w:rsidRPr="0063337A" w:rsidRDefault="002D76EA" w:rsidP="002D76EA">
      <w:pPr>
        <w:pStyle w:val="FootnoteText"/>
        <w:spacing w:line="240" w:lineRule="auto"/>
        <w:ind w:right="10"/>
        <w:rPr>
          <w:szCs w:val="20"/>
          <w:lang w:val="en-US"/>
        </w:rPr>
      </w:pPr>
      <w:r w:rsidRPr="00907C87">
        <w:rPr>
          <w:rStyle w:val="FootnoteReference"/>
          <w:szCs w:val="20"/>
        </w:rPr>
        <w:footnoteRef/>
      </w:r>
      <w:r w:rsidRPr="00907C87">
        <w:rPr>
          <w:szCs w:val="20"/>
        </w:rPr>
        <w:t xml:space="preserve"> </w:t>
      </w:r>
      <w:r w:rsidRPr="0038524D">
        <w:rPr>
          <w:szCs w:val="20"/>
        </w:rPr>
        <w:fldChar w:fldCharType="begin" w:fldLock="1"/>
      </w:r>
      <w:r w:rsidRPr="0038524D">
        <w:rPr>
          <w:szCs w:val="20"/>
        </w:rPr>
        <w:instrText>ADDIN CSL_CITATION { "citationItems" : [ { "id" : "ITEM-1", "itemData" : { "author" : [ { "dropping-particle" : "", "family" : "Zolkepli", "given" : "Farik", "non-dropping-particle" : "", "parse-names" : false, "suffix" : "" } ], "container-title" : "The Star", "id" : "ITEM-1", "issued" : { "date-parts" : [ [ "2012", "5", "11" ] ] }, "title" : "Worker Killed and 23 Hurt in Gas Plant Blast", "type" : "article-newspaper" }, "suffix" : "accessed on 25 October 2013", "uris" : [ "http://www.mendeley.com/documents/?uuid=9cfefe04-219e-3f59-8de4-cdec0153c1ed" ] } ], "mendeley" : { "formattedCitation" : "Farik Zolkepli, \u2018Worker Killed and 23 Hurt in Gas Plant Blast\u2019 &lt;i&gt;The Star&lt;/i&gt; (11 May 2012) &lt;http://www.thestar.com.my/News/Nation/2012/05/11/Worker-killed-and-23-hurt-in-gas-plant-blast/&gt; accessed on 25 October 2013.", "plainTextFormattedCitation" : "Farik Zolkepli, \u2018Worker Killed and 23 Hurt in Gas Plant Blast\u2019 The Star (11 May 2012)  accessed on 25 October 2013.", "previouslyFormattedCitation" : "Farik Zolkepli, \u2018Worker Killed and 23 Hurt in Gas Plant Blast\u2019 &lt;i&gt;The Star&lt;/i&gt; (11 May 2012) &lt;http://www.thestar.com.my/News/Nation/2012/05/11/Worker-killed-and-23-hurt-in-gas-plant-blast/&gt; accessed on 25 October 2013." }, "properties" : { "noteIndex" : 0 }, "schema" : "https://github.com/citation-style-language/schema/raw/master/csl-citation.json" }</w:instrText>
      </w:r>
      <w:r w:rsidRPr="0038524D">
        <w:rPr>
          <w:szCs w:val="20"/>
        </w:rPr>
        <w:fldChar w:fldCharType="separate"/>
      </w:r>
      <w:r w:rsidRPr="0038524D">
        <w:rPr>
          <w:noProof/>
          <w:szCs w:val="20"/>
        </w:rPr>
        <w:t xml:space="preserve">Farik Zolkepli, ‘Worker Killed and 23 Hurt in Gas Plant Blast’ </w:t>
      </w:r>
      <w:r w:rsidRPr="0038524D">
        <w:rPr>
          <w:i/>
          <w:noProof/>
          <w:szCs w:val="20"/>
        </w:rPr>
        <w:t>The Star</w:t>
      </w:r>
      <w:r w:rsidRPr="0038524D">
        <w:rPr>
          <w:noProof/>
          <w:szCs w:val="20"/>
        </w:rPr>
        <w:t xml:space="preserve"> (11 May 2012) &lt;http://www.thestar.com.my/News/Nation/2012/05/11/Worker-killed-and-23-hurt-in-gas-plant-blast/&gt; accessed on 25 October 2013.</w:t>
      </w:r>
      <w:r w:rsidRPr="0038524D">
        <w:rPr>
          <w:szCs w:val="20"/>
        </w:rPr>
        <w:fldChar w:fldCharType="end"/>
      </w:r>
    </w:p>
  </w:footnote>
  <w:footnote w:id="13">
    <w:p w:rsidR="002D76EA" w:rsidRPr="0063337A" w:rsidRDefault="002D76EA" w:rsidP="002D76EA">
      <w:pPr>
        <w:pStyle w:val="FootnoteText"/>
        <w:spacing w:line="240" w:lineRule="auto"/>
        <w:ind w:right="10"/>
        <w:rPr>
          <w:szCs w:val="20"/>
          <w:lang w:val="en-US"/>
        </w:rPr>
      </w:pPr>
      <w:r w:rsidRPr="00907C87">
        <w:rPr>
          <w:rStyle w:val="FootnoteReference"/>
          <w:szCs w:val="20"/>
        </w:rPr>
        <w:footnoteRef/>
      </w:r>
      <w:r w:rsidRPr="00907C87">
        <w:rPr>
          <w:szCs w:val="20"/>
        </w:rPr>
        <w:t xml:space="preserve"> Ibid</w:t>
      </w:r>
      <w:r w:rsidRPr="0038524D">
        <w:rPr>
          <w:szCs w:val="20"/>
        </w:rPr>
        <w:t>.</w:t>
      </w:r>
    </w:p>
  </w:footnote>
  <w:footnote w:id="14">
    <w:p w:rsidR="002D76EA" w:rsidRPr="002D76EA" w:rsidRDefault="002D76EA" w:rsidP="002D76EA">
      <w:pPr>
        <w:pStyle w:val="FootnoteText"/>
        <w:spacing w:line="240" w:lineRule="auto"/>
        <w:ind w:right="10"/>
        <w:rPr>
          <w:color w:val="000000"/>
          <w:szCs w:val="20"/>
        </w:rPr>
      </w:pPr>
      <w:r w:rsidRPr="002D76EA">
        <w:rPr>
          <w:rStyle w:val="FootnoteReference"/>
          <w:color w:val="000000"/>
          <w:szCs w:val="20"/>
        </w:rPr>
        <w:footnoteRef/>
      </w:r>
      <w:r w:rsidRPr="002D76EA">
        <w:rPr>
          <w:color w:val="000000"/>
          <w:szCs w:val="20"/>
        </w:rPr>
        <w:t xml:space="preserve"> Piper Alpha is said to have occasioned a total insured loss of US$3.304 billion; See Hewitt (n</w:t>
      </w:r>
      <w:r w:rsidRPr="002D76EA">
        <w:rPr>
          <w:color w:val="000000"/>
          <w:szCs w:val="20"/>
        </w:rPr>
        <w:fldChar w:fldCharType="begin"/>
      </w:r>
      <w:r w:rsidRPr="002D76EA">
        <w:rPr>
          <w:color w:val="000000"/>
          <w:szCs w:val="20"/>
        </w:rPr>
        <w:instrText xml:space="preserve"> NOTEREF _Ref420687893 \h  \* MERGEFORMAT </w:instrText>
      </w:r>
      <w:r w:rsidRPr="002D76EA">
        <w:rPr>
          <w:color w:val="000000"/>
          <w:szCs w:val="20"/>
        </w:rPr>
      </w:r>
      <w:r w:rsidRPr="002D76EA">
        <w:rPr>
          <w:color w:val="000000"/>
          <w:szCs w:val="20"/>
        </w:rPr>
        <w:fldChar w:fldCharType="separate"/>
      </w:r>
      <w:r w:rsidR="00F54710">
        <w:rPr>
          <w:color w:val="000000"/>
          <w:szCs w:val="20"/>
        </w:rPr>
        <w:t>2</w:t>
      </w:r>
      <w:r w:rsidRPr="002D76EA">
        <w:rPr>
          <w:color w:val="000000"/>
          <w:szCs w:val="20"/>
        </w:rPr>
        <w:fldChar w:fldCharType="end"/>
      </w:r>
      <w:r w:rsidRPr="002D76EA">
        <w:rPr>
          <w:color w:val="000000"/>
          <w:szCs w:val="20"/>
        </w:rPr>
        <w:t>) 178</w:t>
      </w:r>
    </w:p>
  </w:footnote>
  <w:footnote w:id="15">
    <w:p w:rsidR="002D76EA" w:rsidRPr="002D76EA" w:rsidRDefault="002D76EA" w:rsidP="002D76EA">
      <w:pPr>
        <w:pStyle w:val="FootnoteText"/>
        <w:spacing w:line="240" w:lineRule="auto"/>
        <w:ind w:right="10"/>
        <w:rPr>
          <w:i/>
          <w:color w:val="000000"/>
          <w:szCs w:val="20"/>
        </w:rPr>
      </w:pPr>
      <w:r w:rsidRPr="002D76EA">
        <w:rPr>
          <w:rStyle w:val="FootnoteReference"/>
          <w:color w:val="000000"/>
          <w:szCs w:val="20"/>
        </w:rPr>
        <w:footnoteRef/>
      </w:r>
      <w:r w:rsidRPr="002D76EA">
        <w:rPr>
          <w:color w:val="000000"/>
          <w:szCs w:val="20"/>
        </w:rPr>
        <w:t xml:space="preserve"> According to the Guardian the </w:t>
      </w:r>
      <w:proofErr w:type="spellStart"/>
      <w:r w:rsidRPr="002D76EA">
        <w:rPr>
          <w:color w:val="000000"/>
          <w:szCs w:val="20"/>
        </w:rPr>
        <w:t>Deepwater</w:t>
      </w:r>
      <w:proofErr w:type="spellEnd"/>
      <w:r w:rsidRPr="002D76EA">
        <w:rPr>
          <w:color w:val="000000"/>
          <w:szCs w:val="20"/>
        </w:rPr>
        <w:t xml:space="preserve"> Horizon incident has led to the dip of BP’s profits by 35%. See </w:t>
      </w:r>
      <w:r w:rsidRPr="0038524D">
        <w:rPr>
          <w:bCs/>
          <w:szCs w:val="20"/>
        </w:rPr>
        <w:t xml:space="preserve">Dan </w:t>
      </w:r>
      <w:proofErr w:type="spellStart"/>
      <w:r w:rsidRPr="0038524D">
        <w:rPr>
          <w:bCs/>
          <w:szCs w:val="20"/>
        </w:rPr>
        <w:t>Milmo</w:t>
      </w:r>
      <w:proofErr w:type="spellEnd"/>
      <w:r w:rsidRPr="0038524D">
        <w:rPr>
          <w:bCs/>
          <w:szCs w:val="20"/>
        </w:rPr>
        <w:t xml:space="preserve">, ‘BP's </w:t>
      </w:r>
      <w:proofErr w:type="spellStart"/>
      <w:r w:rsidRPr="0038524D">
        <w:rPr>
          <w:bCs/>
          <w:szCs w:val="20"/>
        </w:rPr>
        <w:t>Deepwater</w:t>
      </w:r>
      <w:proofErr w:type="spellEnd"/>
      <w:r w:rsidRPr="0038524D">
        <w:rPr>
          <w:bCs/>
          <w:szCs w:val="20"/>
        </w:rPr>
        <w:t xml:space="preserve"> Horizon costs rise $847m’ (</w:t>
      </w:r>
      <w:proofErr w:type="spellStart"/>
      <w:r w:rsidRPr="0038524D">
        <w:rPr>
          <w:bCs/>
          <w:szCs w:val="20"/>
        </w:rPr>
        <w:t>TheGuardian</w:t>
      </w:r>
      <w:proofErr w:type="spellEnd"/>
      <w:r w:rsidRPr="0038524D">
        <w:rPr>
          <w:bCs/>
          <w:szCs w:val="20"/>
        </w:rPr>
        <w:t xml:space="preserve"> 2012) &lt;http://www.theguardian.com/business/2012/jul/31/bp-deepwater-horizon-costs&gt; accessed 28 October 2013.</w:t>
      </w:r>
    </w:p>
  </w:footnote>
  <w:footnote w:id="16">
    <w:p w:rsidR="002D76EA" w:rsidRPr="0063337A" w:rsidRDefault="002D76EA" w:rsidP="002D76EA">
      <w:pPr>
        <w:pStyle w:val="FootnoteText"/>
        <w:spacing w:line="240" w:lineRule="auto"/>
        <w:ind w:right="10"/>
        <w:rPr>
          <w:szCs w:val="20"/>
        </w:rPr>
      </w:pPr>
      <w:r w:rsidRPr="0063337A">
        <w:rPr>
          <w:rStyle w:val="FootnoteReference"/>
          <w:szCs w:val="20"/>
        </w:rPr>
        <w:footnoteRef/>
      </w:r>
      <w:r w:rsidRPr="00907C87">
        <w:rPr>
          <w:szCs w:val="20"/>
        </w:rPr>
        <w:t xml:space="preserve"> </w:t>
      </w:r>
      <w:r w:rsidRPr="0038524D">
        <w:rPr>
          <w:szCs w:val="20"/>
        </w:rPr>
        <w:fldChar w:fldCharType="begin" w:fldLock="1"/>
      </w:r>
      <w:r w:rsidRPr="0038524D">
        <w:rPr>
          <w:szCs w:val="20"/>
        </w:rPr>
        <w:instrText>ADDIN CSL_CITATION { "citationItems" : [ { "id" : "ITEM-1", "itemData" : { "ISBN" : "0199593337", "abstract" : "Anson's Law of Contract is a classic text in the field, renowned for offering an accurate, authoritative and stimulating account of the law and its underlying principles. In this edition Sir Jack Beatson has been joined by Professor Andrew Burrows and Professor John Cartwright to create an exceptional author team. The 29th edition continues to provide comprehensive and detailed coverage of all topics covered on modern contract law courses, and has been completely revised and updated to incorporate all notable developments in case law, legislation, and academic debate.", "author" : [ { "dropping-particle" : "", "family" : "Anson", "given" : "Sir William Reynell", "non-dropping-particle" : "", "parse-names" : false, "suffix" : "" }, { "dropping-particle" : "", "family" : "Beatson", "given" : "J.", "non-dropping-particle" : "", "parse-names" : false, "suffix" : "" }, { "dropping-particle" : "", "family" : "Burrows", "given" : "Andrew S.", "non-dropping-particle" : "", "parse-names" : false, "suffix" : "" }, { "dropping-particle" : "", "family" : "Cartwright", "given" : "John", "non-dropping-particle" : "", "parse-names" : false, "suffix" : "" } ], "id" : "ITEM-1", "issued" : { "date-parts" : [ [ "2010" ] ] }, "number-of-pages" : "750", "publisher" : "OU Press", "title" : "Anson's Law of Contract", "type" : "book" }, "locator" : "3", "uris" : [ "http://www.mendeley.com/documents/?uuid=af803222-67aa-4ee4-bcc6-b54eb053505f" ] } ], "mendeley" : { "formattedCitation" : "Sir William Reynell Anson and others, &lt;i&gt;Anson\u2019s Law of Contract&lt;/i&gt; (OU Press 2010) 3.", "plainTextFormattedCitation" : "Sir William Reynell Anson and others, Anson\u2019s Law of Contract (OU Press 2010) 3.", "previouslyFormattedCitation" : "Sir William Reynell Anson and others, &lt;i&gt;Anson\u2019s Law of Contract&lt;/i&gt; (OU Press 2010) 3." }, "properties" : { "noteIndex" : 0 }, "schema" : "https://github.com/citation-style-language/schema/raw/master/csl-citation.json" }</w:instrText>
      </w:r>
      <w:r w:rsidRPr="0038524D">
        <w:rPr>
          <w:szCs w:val="20"/>
        </w:rPr>
        <w:fldChar w:fldCharType="separate"/>
      </w:r>
      <w:r w:rsidRPr="0038524D">
        <w:rPr>
          <w:noProof/>
          <w:szCs w:val="20"/>
        </w:rPr>
        <w:t xml:space="preserve">Sir William Reynell Anson and others, </w:t>
      </w:r>
      <w:r w:rsidRPr="0038524D">
        <w:rPr>
          <w:i/>
          <w:noProof/>
          <w:szCs w:val="20"/>
        </w:rPr>
        <w:t>Anson’s Law of Contract</w:t>
      </w:r>
      <w:r w:rsidRPr="0038524D">
        <w:rPr>
          <w:noProof/>
          <w:szCs w:val="20"/>
        </w:rPr>
        <w:t xml:space="preserve"> (OU Press 2010) 3.</w:t>
      </w:r>
      <w:r w:rsidRPr="0038524D">
        <w:rPr>
          <w:szCs w:val="20"/>
        </w:rPr>
        <w:fldChar w:fldCharType="end"/>
      </w:r>
    </w:p>
  </w:footnote>
  <w:footnote w:id="17">
    <w:p w:rsidR="002D76EA" w:rsidRPr="0063337A" w:rsidRDefault="002D76EA" w:rsidP="002D76EA">
      <w:pPr>
        <w:pStyle w:val="FootnoteText"/>
        <w:spacing w:line="240" w:lineRule="auto"/>
        <w:ind w:right="10"/>
        <w:rPr>
          <w:szCs w:val="20"/>
        </w:rPr>
      </w:pPr>
      <w:r w:rsidRPr="00907C87">
        <w:rPr>
          <w:rStyle w:val="FootnoteReference"/>
          <w:szCs w:val="20"/>
        </w:rPr>
        <w:footnoteRef/>
      </w:r>
      <w:r w:rsidRPr="00907C87">
        <w:rPr>
          <w:szCs w:val="20"/>
        </w:rPr>
        <w:t xml:space="preserve"> </w:t>
      </w:r>
      <w:r w:rsidRPr="0038524D">
        <w:rPr>
          <w:szCs w:val="20"/>
        </w:rPr>
        <w:fldChar w:fldCharType="begin" w:fldLock="1"/>
      </w:r>
      <w:r w:rsidRPr="0038524D">
        <w:rPr>
          <w:szCs w:val="20"/>
        </w:rPr>
        <w:instrText>ADDIN CSL_CITATION { "citationItems" : [ { "id" : "ITEM-1", "itemData" : { "author" : [ { "dropping-particle" : "", "family" : "Cameron", "given" : "Peter", "non-dropping-particle" : "", "parse-names" : false, "suffix" : "" } ], "container-title" : "IELR", "id" : "ITEM-1", "issued" : { "date-parts" : [ [ "2012" ] ] }, "note" : "Tag: Pet12; SourceType: JournalArticle; Guid: {F78C18D9-23FC-A047-94DD-7A86DF451ABE}", "page" : "207", "title" : "Liability for Catastrophic Risk in the Oil and Gas Industry", "type" : "article-journal" }, "locator" : "207", "uris" : [ "http://www.mendeley.com/documents/?uuid=420c922d-37fc-410f-8696-258b2d203eaf" ] } ], "mendeley" : { "formattedCitation" : "Peter Cameron, \u2018Liability for Catastrophic Risk in the Oil and Gas Industry\u2019 [2012] IELR 207, 207.", "plainTextFormattedCitation" : "Peter Cameron, \u2018Liability for Catastrophic Risk in the Oil and Gas Industry\u2019 [2012] IELR 207, 207.", "previouslyFormattedCitation" : "Peter Cameron, \u2018Liability for Catastrophic Risk in the Oil and Gas Industry\u2019 [2012] IELR 207, 207." }, "properties" : { "noteIndex" : 0 }, "schema" : "https://github.com/citation-style-language/schema/raw/master/csl-citation.json" }</w:instrText>
      </w:r>
      <w:r w:rsidRPr="0038524D">
        <w:rPr>
          <w:szCs w:val="20"/>
        </w:rPr>
        <w:fldChar w:fldCharType="separate"/>
      </w:r>
      <w:r w:rsidRPr="0038524D">
        <w:rPr>
          <w:noProof/>
          <w:szCs w:val="20"/>
        </w:rPr>
        <w:t>Peter Cameron, ‘Liability for Catastrophic Risk in the Oil and Gas Industry’ [2012] IELR 207, 207.</w:t>
      </w:r>
      <w:r w:rsidRPr="0038524D">
        <w:rPr>
          <w:szCs w:val="20"/>
        </w:rPr>
        <w:fldChar w:fldCharType="end"/>
      </w:r>
    </w:p>
  </w:footnote>
  <w:footnote w:id="18">
    <w:p w:rsidR="002D76EA" w:rsidRPr="0063337A" w:rsidRDefault="002D76EA" w:rsidP="002D76EA">
      <w:pPr>
        <w:pStyle w:val="Footnote"/>
        <w:spacing w:line="240" w:lineRule="auto"/>
        <w:ind w:right="10"/>
      </w:pPr>
      <w:r w:rsidRPr="0038524D">
        <w:rPr>
          <w:rStyle w:val="FootnoteReference"/>
        </w:rPr>
        <w:footnoteRef/>
      </w:r>
      <w:r w:rsidRPr="0038524D">
        <w:t xml:space="preserve"> Cameron (n</w:t>
      </w:r>
      <w:r w:rsidRPr="0038524D">
        <w:fldChar w:fldCharType="begin"/>
      </w:r>
      <w:r w:rsidRPr="0038524D">
        <w:instrText xml:space="preserve"> NOTEREF _Ref420687568 \h  \* MERGEFORMAT </w:instrText>
      </w:r>
      <w:r w:rsidRPr="0038524D">
        <w:fldChar w:fldCharType="separate"/>
      </w:r>
      <w:r w:rsidR="00F54710">
        <w:t>17</w:t>
      </w:r>
      <w:r w:rsidRPr="0038524D">
        <w:fldChar w:fldCharType="end"/>
      </w:r>
      <w:r w:rsidRPr="0038524D">
        <w:t>) 207;</w:t>
      </w:r>
      <w:r w:rsidRPr="0038524D">
        <w:rPr>
          <w:lang w:val="en-US"/>
        </w:rPr>
        <w:t xml:space="preserve"> </w:t>
      </w:r>
      <w:r w:rsidRPr="0038524D">
        <w:fldChar w:fldCharType="begin" w:fldLock="1"/>
      </w:r>
      <w:r w:rsidRPr="0038524D">
        <w:instrText>ADDIN CSL_CITATION { "citationItems" : [ { "id" : "ITEM-1", "itemData" : { "author" : [ { "dropping-particle" : "", "family" : "Moomjian", "given" : "Cary A", "non-dropping-particle" : "", "parse-names" : false, "suffix" : "" } ], "container-title" : "IADC/SPE Drilling Conference and Exhibition on 7th March 2012 in San Diego, California, USA", "id" : "ITEM-1", "issued" : { "date-parts" : [ [ "2012" ] ] }, "publisher" : "Society of Petroleum Engineers", "title" : "Drilling Contract Historical Development and Future Trends Post-Macondo: Reflections on a 35 Year Industry Career", "type" : "paper-conference" }, "locator" : "9", "uris" : [ "http://www.mendeley.com/documents/?uuid=62f57bdc-3411-4a21-8aa1-666c932c29a9" ] } ], "mendeley" : { "formattedCitation" : "Cary A Moomjian, \u2018Drilling Contract Historical Development and Future Trends Post-Macondo: Reflections on a 35 Year Industry Career\u2019, &lt;i&gt;IADC/SPE Drilling Conference and Exhibition on 7th March 2012 in San Diego, California, USA&lt;/i&gt; (Society of Petroleum Engineers 2012) 9 &lt;http://www.drillingcontractor.org/wp-content/uploads/2012/04/Drilling-Contract-Historical-Development-and-Future-Trends-Post-Macondo.pdf&gt;.", "plainTextFormattedCitation" : "Cary A Moomjian, \u2018Drilling Contract Historical Development and Future Trends Post-Macondo: Reflections on a 35 Year Industry Career\u2019, IADC/SPE Drilling Conference and Exhibition on 7th March 2012 in San Diego, California, USA (Society of Petroleum Engineers 2012) 9 .", "previouslyFormattedCitation" : "Cary A Moomjian, \u2018Drilling Contract Historical Development and Future Trends Post-Macondo: Reflections on a 35 Year Industry Career\u2019, &lt;i&gt;IADC/SPE Drilling Conference and Exhibition on 7th March 2012 in San Diego, California, USA&lt;/i&gt; (Society of Petroleum Engineers 2012) 9 &lt;http://www.drillingcontractor.org/wp-content/uploads/2012/04/Drilling-Contract-Historical-Development-and-Future-Trends-Post-Macondo.pdf&gt;." }, "properties" : { "noteIndex" : 0 }, "schema" : "https://github.com/citation-style-language/schema/raw/master/csl-citation.json" }</w:instrText>
      </w:r>
      <w:r w:rsidRPr="0038524D">
        <w:fldChar w:fldCharType="separate"/>
      </w:r>
      <w:r w:rsidRPr="0038524D">
        <w:rPr>
          <w:noProof/>
        </w:rPr>
        <w:t xml:space="preserve">Cary A Moomjian, ‘Drilling Contract Historical Development and Future Trends Post-Macondo: Reflections on a 35 Year Industry Career’, </w:t>
      </w:r>
      <w:r w:rsidRPr="0038524D">
        <w:rPr>
          <w:i/>
          <w:noProof/>
        </w:rPr>
        <w:t>IADC/SPE Drilling Conference and Exhibition on 7th March 2012 in San Diego, California, USA</w:t>
      </w:r>
      <w:r w:rsidRPr="0038524D">
        <w:rPr>
          <w:noProof/>
        </w:rPr>
        <w:t xml:space="preserve"> (Society of Petroleum Engineers 2012) 9 &lt;http://www.drillingcontractor.org/wp-content/uploads/2012/04/Drilling-Contract-Historical-Development-and-Future-Trends-Post-Macondo.pdf&gt;.</w:t>
      </w:r>
      <w:r w:rsidRPr="0038524D">
        <w:fldChar w:fldCharType="end"/>
      </w:r>
      <w:r w:rsidRPr="0038524D">
        <w:t>; Cameron (n</w:t>
      </w:r>
      <w:r w:rsidRPr="0038524D">
        <w:fldChar w:fldCharType="begin"/>
      </w:r>
      <w:r w:rsidRPr="0038524D">
        <w:instrText xml:space="preserve"> NOTEREF _Ref420687568 \h  \* MERGEFORMAT </w:instrText>
      </w:r>
      <w:r w:rsidRPr="0038524D">
        <w:fldChar w:fldCharType="separate"/>
      </w:r>
      <w:r w:rsidR="00F54710">
        <w:t>17</w:t>
      </w:r>
      <w:r w:rsidRPr="0038524D">
        <w:fldChar w:fldCharType="end"/>
      </w:r>
      <w:r w:rsidRPr="0038524D">
        <w:t>).</w:t>
      </w:r>
    </w:p>
  </w:footnote>
  <w:footnote w:id="19">
    <w:p w:rsidR="002D76EA" w:rsidRPr="0063337A" w:rsidRDefault="002D76EA" w:rsidP="002D76EA">
      <w:pPr>
        <w:pStyle w:val="Footnote"/>
        <w:spacing w:line="240" w:lineRule="auto"/>
        <w:ind w:right="10"/>
      </w:pPr>
      <w:r w:rsidRPr="0038524D">
        <w:rPr>
          <w:rStyle w:val="FootnoteReference"/>
        </w:rPr>
        <w:footnoteRef/>
      </w:r>
      <w:r w:rsidRPr="0038524D">
        <w:t xml:space="preserve"> Cameron (n</w:t>
      </w:r>
      <w:r w:rsidRPr="0038524D">
        <w:fldChar w:fldCharType="begin"/>
      </w:r>
      <w:r w:rsidRPr="0038524D">
        <w:instrText xml:space="preserve"> NOTEREF _Ref420687568 \h  \* MERGEFORMAT </w:instrText>
      </w:r>
      <w:r w:rsidRPr="0038524D">
        <w:fldChar w:fldCharType="separate"/>
      </w:r>
      <w:r w:rsidR="00F54710">
        <w:t>17</w:t>
      </w:r>
      <w:r w:rsidRPr="0038524D">
        <w:fldChar w:fldCharType="end"/>
      </w:r>
      <w:r w:rsidRPr="0038524D">
        <w:t>) 207;</w:t>
      </w:r>
      <w:r w:rsidRPr="0038524D">
        <w:rPr>
          <w:lang w:val="en-US"/>
        </w:rPr>
        <w:t xml:space="preserve"> </w:t>
      </w:r>
      <w:r w:rsidRPr="0038524D">
        <w:rPr>
          <w:lang w:val="en-US"/>
        </w:rPr>
        <w:fldChar w:fldCharType="begin" w:fldLock="1"/>
      </w:r>
      <w:r w:rsidRPr="0038524D">
        <w:rPr>
          <w:lang w:val="en-US"/>
        </w:rPr>
        <w:instrText>ADDIN CSL_CITATION { "citationItems" : [ { "id" : "ITEM-1", "itemData" : { "author" : [ { "dropping-particle" : "", "family" : "Patson Wilbroad", "given" : "Arinaitwe", "non-dropping-particle" : "", "parse-names" : false, "suffix" : "" } ], "id" : "ITEM-1", "issued" : { "date-parts" : [ [ "2014" ] ] }, "publisher" : "LAP Lambert Academic Publishing", "title" : "Risk Allocation in Oil and Gas Service Contracts", "type" : "book" }, "locator" : "54", "uris" : [ "http://www.mendeley.com/documents/?uuid=95873390-ca93-48a7-a2ea-9f15d3fb37dc" ] } ], "mendeley" : { "formattedCitation" : "Arinaitwe Patson Wilbroad, &lt;i&gt;Risk Allocation in Oil and Gas Service Contracts&lt;/i&gt; (LAP Lambert Academic Publishing 2014) 54.", "plainTextFormattedCitation" : "Arinaitwe Patson Wilbroad, Risk Allocation in Oil and Gas Service Contracts (LAP Lambert Academic Publishing 2014) 54.", "previouslyFormattedCitation" : "Arinaitwe Patson Wilbroad, &lt;i&gt;Risk Allocation in Oil and Gas Service Contracts&lt;/i&gt; (LAP Lambert Academic Publishing 2014) 54." }, "properties" : { "noteIndex" : 0 }, "schema" : "https://github.com/citation-style-language/schema/raw/master/csl-citation.json" }</w:instrText>
      </w:r>
      <w:r w:rsidRPr="0038524D">
        <w:rPr>
          <w:lang w:val="en-US"/>
        </w:rPr>
        <w:fldChar w:fldCharType="separate"/>
      </w:r>
      <w:r w:rsidRPr="0038524D">
        <w:rPr>
          <w:noProof/>
          <w:lang w:val="en-US"/>
        </w:rPr>
        <w:t xml:space="preserve">Arinaitwe Patson Wilbroad, </w:t>
      </w:r>
      <w:r w:rsidRPr="0038524D">
        <w:rPr>
          <w:i/>
          <w:noProof/>
          <w:lang w:val="en-US"/>
        </w:rPr>
        <w:t>Risk Allocation in Oil and Gas Service Contracts</w:t>
      </w:r>
      <w:r w:rsidRPr="0038524D">
        <w:rPr>
          <w:noProof/>
          <w:lang w:val="en-US"/>
        </w:rPr>
        <w:t xml:space="preserve"> (LAP Lambert Academic Publishing 2014) 54.</w:t>
      </w:r>
      <w:r w:rsidRPr="0038524D">
        <w:rPr>
          <w:lang w:val="en-US"/>
        </w:rPr>
        <w:fldChar w:fldCharType="end"/>
      </w:r>
      <w:r w:rsidRPr="0038524D">
        <w:rPr>
          <w:lang w:val="en-US"/>
        </w:rPr>
        <w:t xml:space="preserve"> </w:t>
      </w:r>
      <w:r w:rsidRPr="0038524D">
        <w:t>For further details see, ‘</w:t>
      </w:r>
      <w:r w:rsidRPr="0038524D">
        <w:rPr>
          <w:lang w:val="en-US"/>
        </w:rPr>
        <w:t>In Re: Oil Spill by the Oil Rig “</w:t>
      </w:r>
      <w:proofErr w:type="spellStart"/>
      <w:r w:rsidRPr="0038524D">
        <w:rPr>
          <w:lang w:val="en-US"/>
        </w:rPr>
        <w:t>Deepwater</w:t>
      </w:r>
      <w:proofErr w:type="spellEnd"/>
      <w:r w:rsidRPr="0038524D">
        <w:rPr>
          <w:lang w:val="en-US"/>
        </w:rPr>
        <w:t xml:space="preserve"> Horizon” in the Gulf of Mexico, on April 20, 2010: Memorandum in Support of Transocean’s Motion for Partial Summary Judgment against BP to Enforce BP’s Contractual Obligations, including BP’s Obligation to Defend, Indemnify and Hold Transocean Harmless against Pollution Claims’ (United States District Court, Eastern District of Louisiana, 1 November 2011).</w:t>
      </w:r>
    </w:p>
  </w:footnote>
  <w:footnote w:id="20">
    <w:p w:rsidR="002D76EA" w:rsidRPr="0063337A" w:rsidRDefault="002D76EA" w:rsidP="002D76EA">
      <w:pPr>
        <w:pStyle w:val="FootnoteText"/>
        <w:spacing w:line="240" w:lineRule="auto"/>
        <w:ind w:right="10"/>
        <w:rPr>
          <w:szCs w:val="20"/>
        </w:rPr>
      </w:pPr>
      <w:r w:rsidRPr="00907C87">
        <w:rPr>
          <w:rStyle w:val="FootnoteReference"/>
          <w:szCs w:val="20"/>
        </w:rPr>
        <w:footnoteRef/>
      </w:r>
      <w:r w:rsidRPr="00907C87">
        <w:rPr>
          <w:szCs w:val="20"/>
        </w:rPr>
        <w:t xml:space="preserve"> Cameron (n</w:t>
      </w:r>
      <w:r w:rsidRPr="0038524D">
        <w:rPr>
          <w:szCs w:val="20"/>
        </w:rPr>
        <w:fldChar w:fldCharType="begin"/>
      </w:r>
      <w:r w:rsidRPr="0038524D">
        <w:rPr>
          <w:szCs w:val="20"/>
        </w:rPr>
        <w:instrText xml:space="preserve"> NOTEREF _Ref420687568 \h  \* MERGEFORMAT </w:instrText>
      </w:r>
      <w:r w:rsidRPr="0038524D">
        <w:rPr>
          <w:szCs w:val="20"/>
        </w:rPr>
      </w:r>
      <w:r w:rsidRPr="0038524D">
        <w:rPr>
          <w:szCs w:val="20"/>
        </w:rPr>
        <w:fldChar w:fldCharType="separate"/>
      </w:r>
      <w:r w:rsidR="00F54710">
        <w:rPr>
          <w:szCs w:val="20"/>
        </w:rPr>
        <w:t>17</w:t>
      </w:r>
      <w:r w:rsidRPr="0038524D">
        <w:rPr>
          <w:szCs w:val="20"/>
        </w:rPr>
        <w:fldChar w:fldCharType="end"/>
      </w:r>
      <w:r w:rsidRPr="0063337A">
        <w:rPr>
          <w:szCs w:val="20"/>
        </w:rPr>
        <w:t xml:space="preserve">) 211; </w:t>
      </w:r>
      <w:r w:rsidRPr="0038524D">
        <w:rPr>
          <w:szCs w:val="20"/>
        </w:rPr>
        <w:fldChar w:fldCharType="begin" w:fldLock="1"/>
      </w:r>
      <w:r w:rsidRPr="0038524D">
        <w:rPr>
          <w:szCs w:val="20"/>
        </w:rPr>
        <w:instrText>ADDIN CSL_CITATION { "citationItems" : [ { "id" : "ITEM-1", "itemData" : { "author" : [ { "dropping-particle" : "", "family" : "Lyndsay Rebeca Garnica Gonz\u00e1lez", "given" : "", "non-dropping-particle" : "", "parse-names" : false, "suffix" : "" } ], "id" : "ITEM-1", "issued" : { "date-parts" : [ [ "2011" ] ] }, "publisher" : "Thesis, Faculty of Law, University of Oslo", "title" : "Self Insurance in the Offshore Drilling. The aftermath of the Macondo.", "type" : "thesis" }, "locator" : "9", "uris" : [ "http://www.mendeley.com/documents/?uuid=79e67dc3-06af-3ea7-b8ad-59901d4c25eb" ] } ], "mendeley" : { "formattedCitation" : "Lyndsay Rebeca Garnica Gonz\u00e1lez, \u2018Self Insurance in the Offshore Drilling. The Aftermath of the Macondo.\u2019 (Thesis, Faculty of Law, University of Oslo 2011) 9.", "plainTextFormattedCitation" : "Lyndsay Rebeca Garnica Gonz\u00e1lez, \u2018Self Insurance in the Offshore Drilling. The Aftermath of the Macondo.\u2019 (Thesis, Faculty of Law, University of Oslo 2011) 9.", "previouslyFormattedCitation" : "Lyndsay Rebeca Garnica Gonz\u00e1lez, \u2018Self Insurance in the Offshore Drilling. The Aftermath of the Macondo.\u2019 (Thesis, Faculty of Law, University of Oslo 2011) 9." }, "properties" : { "noteIndex" : 0 }, "schema" : "https://github.com/citation-style-language/schema/raw/master/csl-citation.json" }</w:instrText>
      </w:r>
      <w:r w:rsidRPr="0038524D">
        <w:rPr>
          <w:szCs w:val="20"/>
        </w:rPr>
        <w:fldChar w:fldCharType="separate"/>
      </w:r>
      <w:r w:rsidRPr="0038524D">
        <w:rPr>
          <w:noProof/>
          <w:szCs w:val="20"/>
        </w:rPr>
        <w:t>Lyndsay Rebeca Garnica González, ‘Self Insurance in the Offshore Drilling. The Aftermath of the Macondo.’ (Thesis, Faculty of Law, University of Oslo 2011) 9.</w:t>
      </w:r>
      <w:r w:rsidRPr="0038524D">
        <w:rPr>
          <w:szCs w:val="20"/>
        </w:rPr>
        <w:fldChar w:fldCharType="end"/>
      </w:r>
    </w:p>
  </w:footnote>
  <w:footnote w:id="21">
    <w:p w:rsidR="002D76EA" w:rsidRPr="00907C87" w:rsidRDefault="002D76EA" w:rsidP="002D76EA">
      <w:pPr>
        <w:pStyle w:val="FootnoteText"/>
        <w:spacing w:line="240" w:lineRule="auto"/>
        <w:ind w:right="10"/>
        <w:rPr>
          <w:i/>
          <w:szCs w:val="20"/>
        </w:rPr>
      </w:pPr>
      <w:r w:rsidRPr="00907C87">
        <w:rPr>
          <w:rStyle w:val="FootnoteReference"/>
          <w:szCs w:val="20"/>
        </w:rPr>
        <w:footnoteRef/>
      </w:r>
      <w:r w:rsidRPr="00907C87">
        <w:rPr>
          <w:szCs w:val="20"/>
        </w:rPr>
        <w:t xml:space="preserve"> </w:t>
      </w:r>
      <w:r w:rsidRPr="0038524D">
        <w:rPr>
          <w:szCs w:val="20"/>
        </w:rPr>
        <w:fldChar w:fldCharType="begin" w:fldLock="1"/>
      </w:r>
      <w:r w:rsidRPr="0038524D">
        <w:rPr>
          <w:szCs w:val="20"/>
        </w:rPr>
        <w:instrText>ADDIN CSL_CITATION { "citationItems" : [ { "id" : "ITEM-1", "itemData" : { "author" : [ { "dropping-particle" : "", "family" : "Zulhafiz", "given" : "Wan", "non-dropping-particle" : "", "parse-names" : false, "suffix" : "" } ], "container-title" : "Int. J. Trade and Global Markets", "id" : "ITEM-1", "issued" : { "date-parts" : [ [ "2015" ] ] }, "page" : "3", "title" : "Unfair Contract Terms Act 1977: does it provide a good model in regulating risk allocation provisions in oilfield contracts in Malaysia?", "type" : "article-journal", "volume" : "8" }, "uris" : [ "http://www.mendeley.com/documents/?uuid=81530b51-b95f-4b48-a853-c61b5b7bc92b" ] }, { "id" : "ITEM-2", "itemData" : { "author" : [ { "dropping-particle" : "", "family" : "Culligan", "given" : "Dennis", "non-dropping-particle" : "", "parse-names" : false, "suffix" : "" }, { "dropping-particle" : "", "family" : "Roo", "given" : "Barbara", "non-dropping-particle" : "de", "parse-names" : false, "suffix" : "" } ], "container-title" : "Proceedings of the IMCA Contracts &amp; Insurance Seminar: Allocation of Risk in the Current Challenging Market on 19th May 2015 in London, UK", "id" : "ITEM-2", "issued" : { "date-parts" : [ [ "2015" ] ] }, "publisher" : "International Marine Contractors Association (IMCA)", "publisher-place" : "London", "title" : "Risk Allocation Future Prospects", "type" : "paper-conference" }, "uris" : [ "http://www.mendeley.com/documents/?uuid=3880853f-4a1e-3f18-9235-d9ec99c96cb0" ] } ], "mendeley" : { "formattedCitation" : "Wan Zulhafiz, \u2018Unfair Contract Terms Act 1977: Does It Provide a Good Model in Regulating Risk Allocation Provisions in Oilfield Contracts in Malaysia?\u2019 (2015) 8 Int. J. Trade and Global Markets 3; Dennis Culligan and Barbara de Roo, \u2018Risk Allocation Future Prospects\u2019, &lt;i&gt;Proceedings of the IMCA Contracts &amp; Insurance Seminar: Allocation of Risk in the Current Challenging Market on 19th May 2015 in London, UK&lt;/i&gt; (International Marine Contractors Association (IMCA) 2015).", "plainTextFormattedCitation" : "Wan Zulhafiz, \u2018Unfair Contract Terms Act 1977: Does It Provide a Good Model in Regulating Risk Allocation Provisions in Oilfield Contracts in Malaysia?\u2019 (2015) 8 Int. J. Trade and Global Markets 3; Dennis Culligan and Barbara de Roo, \u2018Risk Allocation Future Prospects\u2019, Proceedings of the IMCA Contracts &amp; Insurance Seminar: Allocation of Risk in the Current Challenging Market on 19th May 2015 in London, UK (International Marine Contractors Association (IMCA) 2015).", "previouslyFormattedCitation" : "Wan Zulhafiz, \u2018Unfair Contract Terms Act 1977: Does It Provide a Good Model in Regulating Risk Allocation Provisions in Oilfield Contracts in Malaysia?\u2019 (2015) 8 Int. J. Trade and Global Markets 3; Dennis Culligan and Barbara de Roo, \u2018Risk Allocation Future Prospects\u2019, &lt;i&gt;Proceedings of the IMCA Contracts &amp; Insurance Seminar: Allocation of Risk in the Current Challenging Market on 19th May 2015 in London, UK&lt;/i&gt; (International Marine Contractors Association (IMCA) 2015)." }, "properties" : { "noteIndex" : 0 }, "schema" : "https://github.com/citation-style-language/schema/raw/master/csl-citation.json" }</w:instrText>
      </w:r>
      <w:r w:rsidRPr="0038524D">
        <w:rPr>
          <w:szCs w:val="20"/>
        </w:rPr>
        <w:fldChar w:fldCharType="separate"/>
      </w:r>
      <w:r w:rsidRPr="0038524D">
        <w:rPr>
          <w:noProof/>
          <w:szCs w:val="20"/>
        </w:rPr>
        <w:t xml:space="preserve">Wan Zulhafiz, ‘Unfair Contract Terms Act 1977: Does It Provide a Good Model in Regulating Risk Allocation Provisions in Oilfield Contracts in Malaysia?’ (2015) 8 Int. J. Trade and Global Markets 3; Dennis Culligan and Barbara de Roo, ‘Risk Allocation Future Prospects’, </w:t>
      </w:r>
      <w:r w:rsidRPr="0038524D">
        <w:rPr>
          <w:i/>
          <w:noProof/>
          <w:szCs w:val="20"/>
        </w:rPr>
        <w:t>Proceedings of the IMCA Contracts &amp; Insurance Seminar: Allocation of Risk in the Current Challenging Market on 19th May 2015 in London, UK</w:t>
      </w:r>
      <w:r w:rsidRPr="0038524D">
        <w:rPr>
          <w:noProof/>
          <w:szCs w:val="20"/>
        </w:rPr>
        <w:t xml:space="preserve"> (International Marine Contractors Association (IMCA) 2015).</w:t>
      </w:r>
      <w:r w:rsidRPr="0038524D">
        <w:rPr>
          <w:szCs w:val="20"/>
        </w:rPr>
        <w:fldChar w:fldCharType="end"/>
      </w:r>
      <w:r w:rsidRPr="0063337A">
        <w:rPr>
          <w:szCs w:val="20"/>
        </w:rPr>
        <w:t xml:space="preserve">; </w:t>
      </w:r>
      <w:r w:rsidRPr="0038524D">
        <w:rPr>
          <w:szCs w:val="20"/>
        </w:rPr>
        <w:t>Cameron (n</w:t>
      </w:r>
      <w:r w:rsidRPr="0038524D">
        <w:rPr>
          <w:szCs w:val="20"/>
        </w:rPr>
        <w:fldChar w:fldCharType="begin"/>
      </w:r>
      <w:r w:rsidRPr="0038524D">
        <w:rPr>
          <w:szCs w:val="20"/>
        </w:rPr>
        <w:instrText xml:space="preserve"> NOTEREF _Ref420687568 \h  \* MERGEFORMAT </w:instrText>
      </w:r>
      <w:r w:rsidRPr="0038524D">
        <w:rPr>
          <w:szCs w:val="20"/>
        </w:rPr>
      </w:r>
      <w:r w:rsidRPr="0038524D">
        <w:rPr>
          <w:szCs w:val="20"/>
        </w:rPr>
        <w:fldChar w:fldCharType="separate"/>
      </w:r>
      <w:r w:rsidR="00F54710">
        <w:rPr>
          <w:szCs w:val="20"/>
        </w:rPr>
        <w:t>17</w:t>
      </w:r>
      <w:r w:rsidRPr="0038524D">
        <w:rPr>
          <w:szCs w:val="20"/>
        </w:rPr>
        <w:fldChar w:fldCharType="end"/>
      </w:r>
      <w:r w:rsidRPr="0063337A">
        <w:rPr>
          <w:szCs w:val="20"/>
        </w:rPr>
        <w:t>) 210.</w:t>
      </w:r>
    </w:p>
  </w:footnote>
  <w:footnote w:id="22">
    <w:p w:rsidR="002D76EA" w:rsidRPr="00907C87" w:rsidRDefault="002D76EA" w:rsidP="002D76EA">
      <w:pPr>
        <w:pStyle w:val="FootnoteText"/>
        <w:spacing w:line="240" w:lineRule="auto"/>
        <w:ind w:right="10"/>
        <w:rPr>
          <w:szCs w:val="20"/>
        </w:rPr>
      </w:pPr>
      <w:r w:rsidRPr="00907C87">
        <w:rPr>
          <w:rStyle w:val="FootnoteReference"/>
          <w:szCs w:val="20"/>
        </w:rPr>
        <w:footnoteRef/>
      </w:r>
      <w:r w:rsidRPr="00907C87">
        <w:rPr>
          <w:szCs w:val="20"/>
        </w:rPr>
        <w:t xml:space="preserve"> </w:t>
      </w:r>
      <w:r w:rsidRPr="0038524D">
        <w:rPr>
          <w:szCs w:val="20"/>
        </w:rPr>
        <w:fldChar w:fldCharType="begin" w:fldLock="1"/>
      </w:r>
      <w:r w:rsidRPr="0038524D">
        <w:rPr>
          <w:szCs w:val="20"/>
        </w:rPr>
        <w:instrText>ADDIN CSL_CITATION { "citationItems" : [ { "id" : "ITEM-1", "itemData" : { "author" : [ { "dropping-particle" : "", "family" : "Thorpe", "given" : "Chris", "non-dropping-particle" : "", "parse-names" : false, "suffix" : "" } ], "id" : "ITEM-1", "issued" : { "date-parts" : [ [ "2008" ] ] }, "number-of-pages" : "282", "publisher" : "C P Thorpe Ltd", "title" : "Fundamentals of Upstream Petroleum Agreements", "type" : "book" }, "locator" : "282", "uris" : [ "http://www.mendeley.com/documents/?uuid=c3caf850-a526-4760-82c3-c7336e0e653a" ] } ], "mendeley" : { "formattedCitation" : "Chris Thorpe, &lt;i&gt;Fundamentals of Upstream Petroleum Agreements&lt;/i&gt; (C P Thorpe Ltd 2008) 282.", "manualFormatting" : "Chris Thorpe, Fundamentals of Upstream Petroleum Agreements (C P Thorpe Ltd 2008) 282", "plainTextFormattedCitation" : "Chris Thorpe, Fundamentals of Upstream Petroleum Agreements (C P Thorpe Ltd 2008) 282.", "previouslyFormattedCitation" : "Chris Thorpe, &lt;i&gt;Fundamentals of Upstream Petroleum Agreements&lt;/i&gt; (C P Thorpe Ltd 2008) 282." }, "properties" : { "noteIndex" : 0 }, "schema" : "https://github.com/citation-style-language/schema/raw/master/csl-citation.json" }</w:instrText>
      </w:r>
      <w:r w:rsidRPr="0038524D">
        <w:rPr>
          <w:szCs w:val="20"/>
        </w:rPr>
        <w:fldChar w:fldCharType="separate"/>
      </w:r>
      <w:proofErr w:type="gramStart"/>
      <w:r w:rsidRPr="0038524D">
        <w:rPr>
          <w:noProof/>
          <w:szCs w:val="20"/>
        </w:rPr>
        <w:t xml:space="preserve">Chris Thorpe, </w:t>
      </w:r>
      <w:r w:rsidRPr="0038524D">
        <w:rPr>
          <w:i/>
          <w:noProof/>
          <w:szCs w:val="20"/>
        </w:rPr>
        <w:t>Fundamentals of Upstream Petroleum Agreements</w:t>
      </w:r>
      <w:r w:rsidRPr="0038524D">
        <w:rPr>
          <w:noProof/>
          <w:szCs w:val="20"/>
        </w:rPr>
        <w:t xml:space="preserve"> (C P Thorpe Ltd 2008) 282</w:t>
      </w:r>
      <w:r w:rsidRPr="0038524D">
        <w:rPr>
          <w:szCs w:val="20"/>
        </w:rPr>
        <w:fldChar w:fldCharType="end"/>
      </w:r>
      <w:r w:rsidRPr="0063337A">
        <w:rPr>
          <w:szCs w:val="20"/>
        </w:rPr>
        <w:t>;</w:t>
      </w:r>
      <w:r w:rsidRPr="00907C87">
        <w:rPr>
          <w:szCs w:val="20"/>
        </w:rPr>
        <w:t xml:space="preserve"> Cameron (n</w:t>
      </w:r>
      <w:r w:rsidRPr="0038524D">
        <w:rPr>
          <w:szCs w:val="20"/>
        </w:rPr>
        <w:fldChar w:fldCharType="begin"/>
      </w:r>
      <w:r w:rsidRPr="0038524D">
        <w:rPr>
          <w:szCs w:val="20"/>
        </w:rPr>
        <w:instrText xml:space="preserve"> NOTEREF _Ref420687568 \h  \* MERGEFORMAT </w:instrText>
      </w:r>
      <w:r w:rsidRPr="0038524D">
        <w:rPr>
          <w:szCs w:val="20"/>
        </w:rPr>
      </w:r>
      <w:r w:rsidRPr="0038524D">
        <w:rPr>
          <w:szCs w:val="20"/>
        </w:rPr>
        <w:fldChar w:fldCharType="separate"/>
      </w:r>
      <w:r w:rsidR="00F54710">
        <w:rPr>
          <w:szCs w:val="20"/>
        </w:rPr>
        <w:t>17</w:t>
      </w:r>
      <w:r w:rsidRPr="0038524D">
        <w:rPr>
          <w:szCs w:val="20"/>
        </w:rPr>
        <w:fldChar w:fldCharType="end"/>
      </w:r>
      <w:r w:rsidRPr="0063337A">
        <w:rPr>
          <w:szCs w:val="20"/>
        </w:rPr>
        <w:t>) 213.</w:t>
      </w:r>
      <w:proofErr w:type="gramEnd"/>
    </w:p>
  </w:footnote>
  <w:footnote w:id="23">
    <w:p w:rsidR="002D76EA" w:rsidRPr="0063337A" w:rsidRDefault="002D76EA" w:rsidP="002D76EA">
      <w:pPr>
        <w:pStyle w:val="FootnoteText"/>
        <w:spacing w:line="240" w:lineRule="auto"/>
        <w:ind w:right="-846"/>
        <w:rPr>
          <w:szCs w:val="20"/>
        </w:rPr>
      </w:pPr>
      <w:r w:rsidRPr="00907C87">
        <w:rPr>
          <w:rStyle w:val="FootnoteReference"/>
          <w:szCs w:val="20"/>
        </w:rPr>
        <w:footnoteRef/>
      </w:r>
      <w:r w:rsidRPr="00907C87">
        <w:rPr>
          <w:szCs w:val="20"/>
        </w:rPr>
        <w:t xml:space="preserve"> </w:t>
      </w:r>
      <w:proofErr w:type="gramStart"/>
      <w:r w:rsidRPr="00907C87">
        <w:rPr>
          <w:szCs w:val="20"/>
        </w:rPr>
        <w:t>Cameron (n</w:t>
      </w:r>
      <w:r w:rsidRPr="0038524D">
        <w:rPr>
          <w:szCs w:val="20"/>
        </w:rPr>
        <w:fldChar w:fldCharType="begin"/>
      </w:r>
      <w:r w:rsidRPr="0038524D">
        <w:rPr>
          <w:szCs w:val="20"/>
        </w:rPr>
        <w:instrText xml:space="preserve"> NOTEREF _Ref420687568 \h  \* MERGEFORMAT </w:instrText>
      </w:r>
      <w:r w:rsidRPr="0038524D">
        <w:rPr>
          <w:szCs w:val="20"/>
        </w:rPr>
      </w:r>
      <w:r w:rsidRPr="0038524D">
        <w:rPr>
          <w:szCs w:val="20"/>
        </w:rPr>
        <w:fldChar w:fldCharType="separate"/>
      </w:r>
      <w:r w:rsidR="00F54710">
        <w:rPr>
          <w:szCs w:val="20"/>
        </w:rPr>
        <w:t>17</w:t>
      </w:r>
      <w:r w:rsidRPr="0038524D">
        <w:rPr>
          <w:szCs w:val="20"/>
        </w:rPr>
        <w:fldChar w:fldCharType="end"/>
      </w:r>
      <w:r w:rsidRPr="0063337A">
        <w:rPr>
          <w:szCs w:val="20"/>
        </w:rPr>
        <w:t>) 212</w:t>
      </w:r>
      <w:r w:rsidRPr="0038524D">
        <w:rPr>
          <w:szCs w:val="20"/>
        </w:rPr>
        <w:t>.</w:t>
      </w:r>
      <w:proofErr w:type="gramEnd"/>
    </w:p>
  </w:footnote>
  <w:footnote w:id="24">
    <w:p w:rsidR="002D76EA" w:rsidRPr="0063337A" w:rsidRDefault="002D76EA" w:rsidP="002D76EA">
      <w:pPr>
        <w:pStyle w:val="FootnoteText"/>
        <w:spacing w:line="240" w:lineRule="auto"/>
        <w:ind w:right="-846"/>
        <w:rPr>
          <w:szCs w:val="20"/>
        </w:rPr>
      </w:pPr>
      <w:r w:rsidRPr="00907C87">
        <w:rPr>
          <w:rStyle w:val="FootnoteReference"/>
          <w:szCs w:val="20"/>
        </w:rPr>
        <w:footnoteRef/>
      </w:r>
      <w:r w:rsidRPr="00907C87">
        <w:rPr>
          <w:szCs w:val="20"/>
        </w:rPr>
        <w:t xml:space="preserve"> Ibid</w:t>
      </w:r>
      <w:r w:rsidRPr="0038524D">
        <w:rPr>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E9" w:rsidRDefault="002D76EA" w:rsidP="00304F56">
    <w:pPr>
      <w:pStyle w:val="Header"/>
      <w:ind w:right="-900"/>
      <w:rPr>
        <w:rFonts w:ascii="Arial" w:hAnsi="Arial" w:cs="Arial"/>
        <w:color w:val="7F7F7F"/>
        <w:sz w:val="20"/>
        <w:szCs w:val="20"/>
      </w:rPr>
    </w:pPr>
    <w:r>
      <w:rPr>
        <w:rFonts w:ascii="Arial" w:hAnsi="Arial" w:cs="Arial"/>
        <w:noProof/>
        <w:color w:val="7F7F7F"/>
        <w:sz w:val="20"/>
        <w:szCs w:val="20"/>
        <w:lang w:val="en-GB" w:eastAsia="en-GB"/>
      </w:rPr>
      <mc:AlternateContent>
        <mc:Choice Requires="wps">
          <w:drawing>
            <wp:anchor distT="0" distB="0" distL="114300" distR="114300" simplePos="0" relativeHeight="251657728" behindDoc="1" locked="0" layoutInCell="1" allowOverlap="1">
              <wp:simplePos x="0" y="0"/>
              <wp:positionH relativeFrom="column">
                <wp:posOffset>4385945</wp:posOffset>
              </wp:positionH>
              <wp:positionV relativeFrom="paragraph">
                <wp:posOffset>52705</wp:posOffset>
              </wp:positionV>
              <wp:extent cx="1278890" cy="512445"/>
              <wp:effectExtent l="11430" t="7620" r="5080"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512445"/>
                      </a:xfrm>
                      <a:prstGeom prst="rect">
                        <a:avLst/>
                      </a:prstGeom>
                      <a:solidFill>
                        <a:srgbClr val="FFFFFF"/>
                      </a:solidFill>
                      <a:ln w="6350">
                        <a:solidFill>
                          <a:srgbClr val="808080"/>
                        </a:solidFill>
                        <a:miter lim="800000"/>
                        <a:headEnd/>
                        <a:tailEnd/>
                      </a:ln>
                    </wps:spPr>
                    <wps:txbx>
                      <w:txbxContent>
                        <w:p w:rsidR="00304F56" w:rsidRPr="00304F56" w:rsidRDefault="00304F56" w:rsidP="00304F56">
                          <w:pPr>
                            <w:rPr>
                              <w:rFonts w:ascii="Arial" w:hAnsi="Arial" w:cs="Arial"/>
                              <w:sz w:val="16"/>
                            </w:rPr>
                          </w:pPr>
                          <w:r w:rsidRPr="00304F56">
                            <w:rPr>
                              <w:rFonts w:ascii="Arial" w:hAnsi="Arial" w:cs="Arial"/>
                              <w:sz w:val="16"/>
                            </w:rPr>
                            <w:t>Version: 2.0</w:t>
                          </w:r>
                        </w:p>
                        <w:p w:rsidR="00304F56" w:rsidRPr="00304F56" w:rsidRDefault="00304F56" w:rsidP="00304F56">
                          <w:pPr>
                            <w:rPr>
                              <w:rFonts w:ascii="Arial" w:hAnsi="Arial" w:cs="Arial"/>
                              <w:sz w:val="16"/>
                            </w:rPr>
                          </w:pPr>
                          <w:r w:rsidRPr="00304F56">
                            <w:rPr>
                              <w:rFonts w:ascii="Arial" w:hAnsi="Arial" w:cs="Arial"/>
                              <w:sz w:val="16"/>
                            </w:rPr>
                            <w:t>Revision: 00</w:t>
                          </w:r>
                        </w:p>
                        <w:p w:rsidR="00304F56" w:rsidRPr="00304F56" w:rsidRDefault="00304F56" w:rsidP="00304F56">
                          <w:pPr>
                            <w:rPr>
                              <w:rFonts w:ascii="Arial" w:hAnsi="Arial" w:cs="Arial"/>
                              <w:sz w:val="16"/>
                            </w:rPr>
                          </w:pPr>
                          <w:r w:rsidRPr="00304F56">
                            <w:rPr>
                              <w:rFonts w:ascii="Arial" w:hAnsi="Arial" w:cs="Arial"/>
                              <w:sz w:val="16"/>
                            </w:rPr>
                            <w:t>Effective Date:</w:t>
                          </w:r>
                          <w:r w:rsidRPr="00304F56">
                            <w:rPr>
                              <w:sz w:val="16"/>
                            </w:rPr>
                            <w:t xml:space="preserve"> </w:t>
                          </w:r>
                          <w:r w:rsidRPr="00304F56">
                            <w:rPr>
                              <w:rFonts w:ascii="Arial" w:hAnsi="Arial" w:cs="Arial"/>
                              <w:sz w:val="16"/>
                            </w:rPr>
                            <w:t>1/1/2013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345.35pt;margin-top:4.15pt;width:100.7pt;height:4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" strokecolor="gray" strokeweight=".5pt">
              <v:textbox>
                <w:txbxContent>
                  <w:p w:rsidR="00304F56" w:rsidRPr="00304F56" w:rsidRDefault="00304F56" w:rsidP="00304F56">
                    <w:pPr>
                      <w:rPr>
                        <w:rFonts w:ascii="Arial" w:hAnsi="Arial" w:cs="Arial"/>
                        <w:sz w:val="16"/>
                      </w:rPr>
                    </w:pPr>
                    <w:r w:rsidRPr="00304F56">
                      <w:rPr>
                        <w:rFonts w:ascii="Arial" w:hAnsi="Arial" w:cs="Arial"/>
                        <w:sz w:val="16"/>
                      </w:rPr>
                      <w:t>Version: 2.0</w:t>
                    </w:r>
                  </w:p>
                  <w:p w:rsidR="00304F56" w:rsidRPr="00304F56" w:rsidRDefault="00304F56" w:rsidP="00304F56">
                    <w:pPr>
                      <w:rPr>
                        <w:rFonts w:ascii="Arial" w:hAnsi="Arial" w:cs="Arial"/>
                        <w:sz w:val="16"/>
                      </w:rPr>
                    </w:pPr>
                    <w:r w:rsidRPr="00304F56">
                      <w:rPr>
                        <w:rFonts w:ascii="Arial" w:hAnsi="Arial" w:cs="Arial"/>
                        <w:sz w:val="16"/>
                      </w:rPr>
                      <w:t>Revision: 00</w:t>
                    </w:r>
                  </w:p>
                  <w:p w:rsidR="00304F56" w:rsidRPr="00304F56" w:rsidRDefault="00304F56" w:rsidP="00304F56">
                    <w:pPr>
                      <w:rPr>
                        <w:rFonts w:ascii="Arial" w:hAnsi="Arial" w:cs="Arial"/>
                        <w:sz w:val="16"/>
                      </w:rPr>
                    </w:pPr>
                    <w:r w:rsidRPr="00304F56">
                      <w:rPr>
                        <w:rFonts w:ascii="Arial" w:hAnsi="Arial" w:cs="Arial"/>
                        <w:sz w:val="16"/>
                      </w:rPr>
                      <w:t>Effective Date:</w:t>
                    </w:r>
                    <w:r w:rsidRPr="00304F56">
                      <w:rPr>
                        <w:sz w:val="16"/>
                      </w:rPr>
                      <w:t xml:space="preserve"> </w:t>
                    </w:r>
                    <w:r w:rsidRPr="00304F56">
                      <w:rPr>
                        <w:rFonts w:ascii="Arial" w:hAnsi="Arial" w:cs="Arial"/>
                        <w:sz w:val="16"/>
                      </w:rPr>
                      <w:t>1/1/2013</w:t>
                    </w:r>
                  </w:p>
                </w:txbxContent>
              </v:textbox>
            </v:rect>
          </w:pict>
        </mc:Fallback>
      </mc:AlternateContent>
    </w:r>
    <w:r w:rsidR="00E564E9" w:rsidRPr="00304F56">
      <w:rPr>
        <w:rFonts w:ascii="Arial" w:hAnsi="Arial" w:cs="Arial"/>
        <w:color w:val="7F7F7F"/>
        <w:sz w:val="20"/>
        <w:szCs w:val="20"/>
      </w:rPr>
      <w:t xml:space="preserve"> </w:t>
    </w:r>
  </w:p>
  <w:p w:rsidR="00E40FBA" w:rsidRPr="00304F56" w:rsidRDefault="00E564E9" w:rsidP="00304F56">
    <w:pPr>
      <w:pStyle w:val="Header"/>
      <w:ind w:right="-900"/>
      <w:rPr>
        <w:rFonts w:ascii="Arial" w:hAnsi="Arial" w:cs="Arial"/>
        <w:color w:val="7F7F7F"/>
        <w:sz w:val="20"/>
        <w:szCs w:val="20"/>
      </w:rPr>
    </w:pPr>
    <w:r w:rsidRPr="00304F56">
      <w:rPr>
        <w:rFonts w:ascii="Arial" w:hAnsi="Arial" w:cs="Arial"/>
        <w:color w:val="7F7F7F"/>
        <w:sz w:val="20"/>
        <w:szCs w:val="20"/>
      </w:rPr>
      <w:t>END OF PROJECT FORM</w:t>
    </w:r>
    <w:r>
      <w:rPr>
        <w:rFonts w:ascii="Arial" w:hAnsi="Arial" w:cs="Arial"/>
        <w:color w:val="7F7F7F"/>
        <w:sz w:val="20"/>
        <w:szCs w:val="20"/>
      </w:rPr>
      <w:t xml:space="preserve"> – RIF 06</w:t>
    </w:r>
  </w:p>
  <w:p w:rsidR="00304F56" w:rsidRDefault="00304F56" w:rsidP="009E51B2">
    <w:pPr>
      <w:pStyle w:val="Header"/>
      <w:ind w:right="-900"/>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56" w:rsidRDefault="00304F56">
    <w:pPr>
      <w:pStyle w:val="Header"/>
    </w:pPr>
  </w:p>
  <w:p w:rsidR="00304F56" w:rsidRDefault="00304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7"/>
      </v:shape>
    </w:pict>
  </w:numPicBullet>
  <w:abstractNum w:abstractNumId="0">
    <w:nsid w:val="041C54D4"/>
    <w:multiLevelType w:val="hybridMultilevel"/>
    <w:tmpl w:val="FEAE0B3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746828"/>
    <w:multiLevelType w:val="hybridMultilevel"/>
    <w:tmpl w:val="41A6DC3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15">
      <w:start w:val="1"/>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790840"/>
    <w:multiLevelType w:val="hybridMultilevel"/>
    <w:tmpl w:val="C31E0A38"/>
    <w:lvl w:ilvl="0" w:tplc="C374AD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4C4BCE"/>
    <w:multiLevelType w:val="hybridMultilevel"/>
    <w:tmpl w:val="A4FE46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05CF4"/>
    <w:multiLevelType w:val="hybridMultilevel"/>
    <w:tmpl w:val="B2923434"/>
    <w:lvl w:ilvl="0" w:tplc="134CC0E6">
      <w:start w:val="5"/>
      <w:numFmt w:val="upperRoman"/>
      <w:lvlText w:val="%1."/>
      <w:lvlJc w:val="left"/>
      <w:pPr>
        <w:ind w:left="870" w:hanging="720"/>
      </w:pPr>
      <w:rPr>
        <w:rFonts w:ascii="Times New Roman" w:hAnsi="Times New Roman" w:cs="Times New Roman" w:hint="default"/>
        <w:b w:val="0"/>
        <w:color w:val="000000"/>
        <w:sz w:val="22"/>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nsid w:val="1B47233F"/>
    <w:multiLevelType w:val="hybridMultilevel"/>
    <w:tmpl w:val="5AD29F18"/>
    <w:lvl w:ilvl="0" w:tplc="ACE2D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C4D10"/>
    <w:multiLevelType w:val="hybridMultilevel"/>
    <w:tmpl w:val="5B1CA0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C004FE8"/>
    <w:multiLevelType w:val="hybridMultilevel"/>
    <w:tmpl w:val="E0D2788E"/>
    <w:lvl w:ilvl="0" w:tplc="262006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D96A9F"/>
    <w:multiLevelType w:val="hybridMultilevel"/>
    <w:tmpl w:val="994A5C12"/>
    <w:lvl w:ilvl="0" w:tplc="052A622C">
      <w:start w:val="5"/>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nsid w:val="25380603"/>
    <w:multiLevelType w:val="hybridMultilevel"/>
    <w:tmpl w:val="39D4F8C4"/>
    <w:lvl w:ilvl="0" w:tplc="5F7CA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403E64"/>
    <w:multiLevelType w:val="hybridMultilevel"/>
    <w:tmpl w:val="7EF4FC4E"/>
    <w:lvl w:ilvl="0" w:tplc="40C643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BEA6FD2"/>
    <w:multiLevelType w:val="hybridMultilevel"/>
    <w:tmpl w:val="20247FB6"/>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8D3F6C"/>
    <w:multiLevelType w:val="hybridMultilevel"/>
    <w:tmpl w:val="8F6CB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0C27B4"/>
    <w:multiLevelType w:val="hybridMultilevel"/>
    <w:tmpl w:val="0E369392"/>
    <w:lvl w:ilvl="0" w:tplc="AD866D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A033DD2"/>
    <w:multiLevelType w:val="hybridMultilevel"/>
    <w:tmpl w:val="C7E88610"/>
    <w:lvl w:ilvl="0" w:tplc="BAA4A2D6">
      <w:start w:val="2"/>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D25E4D"/>
    <w:multiLevelType w:val="hybridMultilevel"/>
    <w:tmpl w:val="C5328C98"/>
    <w:lvl w:ilvl="0" w:tplc="87147A6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9545F3"/>
    <w:multiLevelType w:val="hybridMultilevel"/>
    <w:tmpl w:val="1ADE12E0"/>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72BDC"/>
    <w:multiLevelType w:val="hybridMultilevel"/>
    <w:tmpl w:val="6142A126"/>
    <w:lvl w:ilvl="0" w:tplc="AC4A253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4F2BCC"/>
    <w:multiLevelType w:val="hybridMultilevel"/>
    <w:tmpl w:val="AF36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527CD"/>
    <w:multiLevelType w:val="hybridMultilevel"/>
    <w:tmpl w:val="17DC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83321"/>
    <w:multiLevelType w:val="hybridMultilevel"/>
    <w:tmpl w:val="AA725D60"/>
    <w:lvl w:ilvl="0" w:tplc="0409000B">
      <w:start w:val="1"/>
      <w:numFmt w:val="bullet"/>
      <w:lvlText w:val=""/>
      <w:lvlJc w:val="left"/>
      <w:pPr>
        <w:tabs>
          <w:tab w:val="num" w:pos="1440"/>
        </w:tabs>
        <w:ind w:left="1440" w:hanging="360"/>
      </w:pPr>
      <w:rPr>
        <w:rFonts w:ascii="Wingdings" w:hAnsi="Wingdings" w:hint="default"/>
      </w:rPr>
    </w:lvl>
    <w:lvl w:ilvl="1" w:tplc="9B4C4E4C">
      <w:start w:val="1"/>
      <w:numFmt w:val="upperLetter"/>
      <w:lvlText w:val="%2."/>
      <w:lvlJc w:val="left"/>
      <w:pPr>
        <w:tabs>
          <w:tab w:val="num" w:pos="2160"/>
        </w:tabs>
        <w:ind w:left="2160" w:hanging="360"/>
      </w:pPr>
      <w:rPr>
        <w:rFonts w:hint="default"/>
        <w:b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B304789"/>
    <w:multiLevelType w:val="hybridMultilevel"/>
    <w:tmpl w:val="463AA636"/>
    <w:lvl w:ilvl="0" w:tplc="52585D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BD6DA0"/>
    <w:multiLevelType w:val="hybridMultilevel"/>
    <w:tmpl w:val="CDF85F9C"/>
    <w:lvl w:ilvl="0" w:tplc="BAA4A2D6">
      <w:start w:val="2"/>
      <w:numFmt w:val="upperLetter"/>
      <w:lvlText w:val="%1."/>
      <w:lvlJc w:val="left"/>
      <w:pPr>
        <w:tabs>
          <w:tab w:val="num" w:pos="4500"/>
        </w:tabs>
        <w:ind w:left="4500" w:hanging="360"/>
      </w:pPr>
      <w:rPr>
        <w:rFonts w:hint="default"/>
      </w:r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3">
    <w:nsid w:val="4F5C313B"/>
    <w:multiLevelType w:val="hybridMultilevel"/>
    <w:tmpl w:val="DC7AF4D2"/>
    <w:lvl w:ilvl="0" w:tplc="7870074A">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460D0A"/>
    <w:multiLevelType w:val="hybridMultilevel"/>
    <w:tmpl w:val="18B2CC4C"/>
    <w:lvl w:ilvl="0" w:tplc="6FE28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516A38"/>
    <w:multiLevelType w:val="hybridMultilevel"/>
    <w:tmpl w:val="6B0AC548"/>
    <w:lvl w:ilvl="0" w:tplc="DB946CE2">
      <w:start w:val="2"/>
      <w:numFmt w:val="upperLetter"/>
      <w:lvlText w:val="%1."/>
      <w:lvlJc w:val="left"/>
      <w:pPr>
        <w:tabs>
          <w:tab w:val="num" w:pos="2520"/>
        </w:tabs>
        <w:ind w:left="25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F4AA9DA8">
      <w:start w:val="1"/>
      <w:numFmt w:val="bullet"/>
      <w:lvlText w:val=""/>
      <w:lvlJc w:val="left"/>
      <w:pPr>
        <w:tabs>
          <w:tab w:val="num" w:pos="2340"/>
        </w:tabs>
        <w:ind w:left="2340" w:hanging="360"/>
      </w:pPr>
      <w:rPr>
        <w:rFonts w:ascii="Symbol" w:hAnsi="Symbol" w:hint="default"/>
        <w:color w:val="auto"/>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F54819"/>
    <w:multiLevelType w:val="multilevel"/>
    <w:tmpl w:val="76728EE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2FB05E9"/>
    <w:multiLevelType w:val="hybridMultilevel"/>
    <w:tmpl w:val="71B47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901A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61C7116"/>
    <w:multiLevelType w:val="hybridMultilevel"/>
    <w:tmpl w:val="389414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9627AEF"/>
    <w:multiLevelType w:val="hybridMultilevel"/>
    <w:tmpl w:val="F19A3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3E4E23"/>
    <w:multiLevelType w:val="hybridMultilevel"/>
    <w:tmpl w:val="CCFA1F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DD82D17"/>
    <w:multiLevelType w:val="hybridMultilevel"/>
    <w:tmpl w:val="9BF22E68"/>
    <w:lvl w:ilvl="0" w:tplc="DBDE5FC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0"/>
  </w:num>
  <w:num w:numId="3">
    <w:abstractNumId w:val="30"/>
  </w:num>
  <w:num w:numId="4">
    <w:abstractNumId w:val="0"/>
  </w:num>
  <w:num w:numId="5">
    <w:abstractNumId w:val="26"/>
  </w:num>
  <w:num w:numId="6">
    <w:abstractNumId w:val="11"/>
  </w:num>
  <w:num w:numId="7">
    <w:abstractNumId w:val="14"/>
  </w:num>
  <w:num w:numId="8">
    <w:abstractNumId w:val="22"/>
  </w:num>
  <w:num w:numId="9">
    <w:abstractNumId w:val="25"/>
  </w:num>
  <w:num w:numId="10">
    <w:abstractNumId w:val="31"/>
  </w:num>
  <w:num w:numId="11">
    <w:abstractNumId w:val="24"/>
  </w:num>
  <w:num w:numId="12">
    <w:abstractNumId w:val="17"/>
  </w:num>
  <w:num w:numId="13">
    <w:abstractNumId w:val="9"/>
  </w:num>
  <w:num w:numId="14">
    <w:abstractNumId w:val="32"/>
  </w:num>
  <w:num w:numId="15">
    <w:abstractNumId w:val="7"/>
  </w:num>
  <w:num w:numId="16">
    <w:abstractNumId w:val="23"/>
  </w:num>
  <w:num w:numId="17">
    <w:abstractNumId w:val="27"/>
  </w:num>
  <w:num w:numId="18">
    <w:abstractNumId w:val="16"/>
  </w:num>
  <w:num w:numId="19">
    <w:abstractNumId w:val="13"/>
  </w:num>
  <w:num w:numId="20">
    <w:abstractNumId w:val="10"/>
  </w:num>
  <w:num w:numId="21">
    <w:abstractNumId w:val="2"/>
  </w:num>
  <w:num w:numId="22">
    <w:abstractNumId w:val="28"/>
  </w:num>
  <w:num w:numId="23">
    <w:abstractNumId w:val="29"/>
  </w:num>
  <w:num w:numId="24">
    <w:abstractNumId w:val="5"/>
  </w:num>
  <w:num w:numId="25">
    <w:abstractNumId w:val="21"/>
  </w:num>
  <w:num w:numId="26">
    <w:abstractNumId w:val="4"/>
  </w:num>
  <w:num w:numId="27">
    <w:abstractNumId w:val="8"/>
  </w:num>
  <w:num w:numId="28">
    <w:abstractNumId w:val="18"/>
  </w:num>
  <w:num w:numId="29">
    <w:abstractNumId w:val="19"/>
  </w:num>
  <w:num w:numId="30">
    <w:abstractNumId w:val="15"/>
  </w:num>
  <w:num w:numId="31">
    <w:abstractNumId w:val="6"/>
  </w:num>
  <w:num w:numId="32">
    <w:abstractNumId w:val="1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f" fillcolor="white">
      <v:fill color="white" on="f"/>
      <v:stroke weight="3pt" linestyle="thinThi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2NzE0NDQwNzQ3MDdX0lEKTi0uzszPAykwrAUA2tjPIywAAAA="/>
  </w:docVars>
  <w:rsids>
    <w:rsidRoot w:val="00157FF7"/>
    <w:rsid w:val="00007269"/>
    <w:rsid w:val="00020571"/>
    <w:rsid w:val="0002063D"/>
    <w:rsid w:val="00023D22"/>
    <w:rsid w:val="0003766F"/>
    <w:rsid w:val="00040DDC"/>
    <w:rsid w:val="0004365C"/>
    <w:rsid w:val="000842F3"/>
    <w:rsid w:val="000D3CD6"/>
    <w:rsid w:val="000D6F8F"/>
    <w:rsid w:val="000E0DDB"/>
    <w:rsid w:val="000E69F9"/>
    <w:rsid w:val="00104B8B"/>
    <w:rsid w:val="00111035"/>
    <w:rsid w:val="00120BAD"/>
    <w:rsid w:val="00127132"/>
    <w:rsid w:val="0013378F"/>
    <w:rsid w:val="001343CF"/>
    <w:rsid w:val="00135562"/>
    <w:rsid w:val="00140750"/>
    <w:rsid w:val="00146777"/>
    <w:rsid w:val="00151789"/>
    <w:rsid w:val="00157FF7"/>
    <w:rsid w:val="00170827"/>
    <w:rsid w:val="001755CC"/>
    <w:rsid w:val="0017738C"/>
    <w:rsid w:val="001803D8"/>
    <w:rsid w:val="001A13A0"/>
    <w:rsid w:val="001D0D57"/>
    <w:rsid w:val="001D3AB6"/>
    <w:rsid w:val="001E7BDC"/>
    <w:rsid w:val="002157E6"/>
    <w:rsid w:val="0023598C"/>
    <w:rsid w:val="00266376"/>
    <w:rsid w:val="0027718B"/>
    <w:rsid w:val="00287BF8"/>
    <w:rsid w:val="00294343"/>
    <w:rsid w:val="00294DA6"/>
    <w:rsid w:val="002D412D"/>
    <w:rsid w:val="002D76EA"/>
    <w:rsid w:val="002E0F3F"/>
    <w:rsid w:val="00304392"/>
    <w:rsid w:val="00304451"/>
    <w:rsid w:val="00304F56"/>
    <w:rsid w:val="00306C24"/>
    <w:rsid w:val="003377C0"/>
    <w:rsid w:val="00352506"/>
    <w:rsid w:val="0036552A"/>
    <w:rsid w:val="00376FD1"/>
    <w:rsid w:val="00382DA3"/>
    <w:rsid w:val="00385D81"/>
    <w:rsid w:val="00390396"/>
    <w:rsid w:val="003A2C52"/>
    <w:rsid w:val="003A450C"/>
    <w:rsid w:val="003A679B"/>
    <w:rsid w:val="003B7045"/>
    <w:rsid w:val="003E5FF1"/>
    <w:rsid w:val="00430B70"/>
    <w:rsid w:val="0043593D"/>
    <w:rsid w:val="004455DA"/>
    <w:rsid w:val="00454D1B"/>
    <w:rsid w:val="00465B32"/>
    <w:rsid w:val="004838CB"/>
    <w:rsid w:val="00486C45"/>
    <w:rsid w:val="00487200"/>
    <w:rsid w:val="004D0A29"/>
    <w:rsid w:val="004D5A98"/>
    <w:rsid w:val="005542F8"/>
    <w:rsid w:val="00563134"/>
    <w:rsid w:val="005A38C0"/>
    <w:rsid w:val="005D1751"/>
    <w:rsid w:val="005D34B7"/>
    <w:rsid w:val="005E5403"/>
    <w:rsid w:val="005F5891"/>
    <w:rsid w:val="00621F5A"/>
    <w:rsid w:val="006300BA"/>
    <w:rsid w:val="006303B7"/>
    <w:rsid w:val="0064321C"/>
    <w:rsid w:val="00652CD3"/>
    <w:rsid w:val="00674F1D"/>
    <w:rsid w:val="006751C6"/>
    <w:rsid w:val="00684C16"/>
    <w:rsid w:val="006A5BB3"/>
    <w:rsid w:val="006A615C"/>
    <w:rsid w:val="006A7CAF"/>
    <w:rsid w:val="006B59C9"/>
    <w:rsid w:val="006D627B"/>
    <w:rsid w:val="006D7A9D"/>
    <w:rsid w:val="00741471"/>
    <w:rsid w:val="00744FB3"/>
    <w:rsid w:val="00751307"/>
    <w:rsid w:val="007561C8"/>
    <w:rsid w:val="00765361"/>
    <w:rsid w:val="007A62FA"/>
    <w:rsid w:val="007B5640"/>
    <w:rsid w:val="007D191B"/>
    <w:rsid w:val="0080327C"/>
    <w:rsid w:val="008226E0"/>
    <w:rsid w:val="008352BC"/>
    <w:rsid w:val="00866BAD"/>
    <w:rsid w:val="008B3D50"/>
    <w:rsid w:val="008B5FD6"/>
    <w:rsid w:val="008C1001"/>
    <w:rsid w:val="008C4069"/>
    <w:rsid w:val="008D5275"/>
    <w:rsid w:val="008E04EB"/>
    <w:rsid w:val="008E4938"/>
    <w:rsid w:val="008F5D63"/>
    <w:rsid w:val="00964393"/>
    <w:rsid w:val="00980F9D"/>
    <w:rsid w:val="009855DA"/>
    <w:rsid w:val="00992EAE"/>
    <w:rsid w:val="009A274D"/>
    <w:rsid w:val="009C1985"/>
    <w:rsid w:val="009E2BEC"/>
    <w:rsid w:val="009E51B2"/>
    <w:rsid w:val="009E7461"/>
    <w:rsid w:val="00A004F9"/>
    <w:rsid w:val="00A15D13"/>
    <w:rsid w:val="00A173B2"/>
    <w:rsid w:val="00A25B17"/>
    <w:rsid w:val="00A25C83"/>
    <w:rsid w:val="00A43EAF"/>
    <w:rsid w:val="00A577BA"/>
    <w:rsid w:val="00A63FCA"/>
    <w:rsid w:val="00A700E0"/>
    <w:rsid w:val="00AA1AF5"/>
    <w:rsid w:val="00AA2A11"/>
    <w:rsid w:val="00AB29F8"/>
    <w:rsid w:val="00AF20F0"/>
    <w:rsid w:val="00AF2A05"/>
    <w:rsid w:val="00AF543C"/>
    <w:rsid w:val="00B03EA8"/>
    <w:rsid w:val="00B16940"/>
    <w:rsid w:val="00B26A3E"/>
    <w:rsid w:val="00B273FE"/>
    <w:rsid w:val="00B30F29"/>
    <w:rsid w:val="00B3580E"/>
    <w:rsid w:val="00B424F0"/>
    <w:rsid w:val="00B462FD"/>
    <w:rsid w:val="00B70074"/>
    <w:rsid w:val="00B75F6C"/>
    <w:rsid w:val="00B826A6"/>
    <w:rsid w:val="00B83A02"/>
    <w:rsid w:val="00B929D2"/>
    <w:rsid w:val="00B97163"/>
    <w:rsid w:val="00BC727B"/>
    <w:rsid w:val="00BE2E23"/>
    <w:rsid w:val="00BF17A7"/>
    <w:rsid w:val="00C1774B"/>
    <w:rsid w:val="00C17A23"/>
    <w:rsid w:val="00C209C8"/>
    <w:rsid w:val="00C40E99"/>
    <w:rsid w:val="00C47524"/>
    <w:rsid w:val="00C7038C"/>
    <w:rsid w:val="00C848E0"/>
    <w:rsid w:val="00CA2FFE"/>
    <w:rsid w:val="00CA3017"/>
    <w:rsid w:val="00CA742B"/>
    <w:rsid w:val="00CC7EB1"/>
    <w:rsid w:val="00CE34DF"/>
    <w:rsid w:val="00D05147"/>
    <w:rsid w:val="00D05570"/>
    <w:rsid w:val="00D1074A"/>
    <w:rsid w:val="00D20AA0"/>
    <w:rsid w:val="00D246ED"/>
    <w:rsid w:val="00D90C07"/>
    <w:rsid w:val="00DB06F1"/>
    <w:rsid w:val="00DC701D"/>
    <w:rsid w:val="00DD38D7"/>
    <w:rsid w:val="00E40FBA"/>
    <w:rsid w:val="00E53424"/>
    <w:rsid w:val="00E564E9"/>
    <w:rsid w:val="00E868BC"/>
    <w:rsid w:val="00E94D82"/>
    <w:rsid w:val="00E96779"/>
    <w:rsid w:val="00EA7BAF"/>
    <w:rsid w:val="00EB2D11"/>
    <w:rsid w:val="00EB4931"/>
    <w:rsid w:val="00EC2ECE"/>
    <w:rsid w:val="00EC4F6A"/>
    <w:rsid w:val="00EE13EE"/>
    <w:rsid w:val="00EF225C"/>
    <w:rsid w:val="00F02651"/>
    <w:rsid w:val="00F36160"/>
    <w:rsid w:val="00F449A6"/>
    <w:rsid w:val="00F45A1D"/>
    <w:rsid w:val="00F54710"/>
    <w:rsid w:val="00F56DAE"/>
    <w:rsid w:val="00F63FF4"/>
    <w:rsid w:val="00F91E28"/>
    <w:rsid w:val="00F92B36"/>
    <w:rsid w:val="00FB04A5"/>
    <w:rsid w:val="00FB5CDB"/>
    <w:rsid w:val="00FD1E9F"/>
    <w:rsid w:val="00FD456D"/>
    <w:rsid w:val="00FE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3pt" linestyle="thinThi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1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43C"/>
    <w:rPr>
      <w:rFonts w:ascii="Tahoma" w:hAnsi="Tahoma" w:cs="Tahoma"/>
      <w:sz w:val="16"/>
      <w:szCs w:val="16"/>
    </w:rPr>
  </w:style>
  <w:style w:type="character" w:styleId="Hyperlink">
    <w:name w:val="Hyperlink"/>
    <w:rsid w:val="00AF543C"/>
    <w:rPr>
      <w:color w:val="0000FF"/>
      <w:u w:val="single"/>
    </w:rPr>
  </w:style>
  <w:style w:type="paragraph" w:styleId="Header">
    <w:name w:val="header"/>
    <w:basedOn w:val="Normal"/>
    <w:link w:val="HeaderChar"/>
    <w:uiPriority w:val="99"/>
    <w:rsid w:val="00B3580E"/>
    <w:pPr>
      <w:tabs>
        <w:tab w:val="center" w:pos="4680"/>
        <w:tab w:val="right" w:pos="9360"/>
      </w:tabs>
    </w:pPr>
  </w:style>
  <w:style w:type="character" w:customStyle="1" w:styleId="HeaderChar">
    <w:name w:val="Header Char"/>
    <w:link w:val="Header"/>
    <w:uiPriority w:val="99"/>
    <w:rsid w:val="00B3580E"/>
    <w:rPr>
      <w:sz w:val="24"/>
      <w:szCs w:val="24"/>
    </w:rPr>
  </w:style>
  <w:style w:type="paragraph" w:styleId="Footer">
    <w:name w:val="footer"/>
    <w:basedOn w:val="Normal"/>
    <w:link w:val="FooterChar"/>
    <w:uiPriority w:val="99"/>
    <w:rsid w:val="00B3580E"/>
    <w:pPr>
      <w:tabs>
        <w:tab w:val="center" w:pos="4680"/>
        <w:tab w:val="right" w:pos="9360"/>
      </w:tabs>
    </w:pPr>
  </w:style>
  <w:style w:type="character" w:customStyle="1" w:styleId="FooterChar">
    <w:name w:val="Footer Char"/>
    <w:link w:val="Footer"/>
    <w:uiPriority w:val="99"/>
    <w:rsid w:val="00B3580E"/>
    <w:rPr>
      <w:sz w:val="24"/>
      <w:szCs w:val="24"/>
    </w:rPr>
  </w:style>
  <w:style w:type="character" w:styleId="Strong">
    <w:name w:val="Strong"/>
    <w:uiPriority w:val="22"/>
    <w:qFormat/>
    <w:rsid w:val="001D3AB6"/>
    <w:rPr>
      <w:b/>
      <w:bCs/>
    </w:rPr>
  </w:style>
  <w:style w:type="paragraph" w:styleId="ListParagraph">
    <w:name w:val="List Paragraph"/>
    <w:basedOn w:val="Normal"/>
    <w:uiPriority w:val="34"/>
    <w:qFormat/>
    <w:rsid w:val="006A615C"/>
    <w:pPr>
      <w:ind w:left="720"/>
    </w:pPr>
  </w:style>
  <w:style w:type="table" w:styleId="TableGrid">
    <w:name w:val="Table Grid"/>
    <w:basedOn w:val="TableNormal"/>
    <w:uiPriority w:val="59"/>
    <w:rsid w:val="00EC2E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E5403"/>
    <w:rPr>
      <w:rFonts w:ascii="Calibri" w:hAnsi="Calibri"/>
      <w:sz w:val="22"/>
      <w:szCs w:val="22"/>
    </w:rPr>
  </w:style>
  <w:style w:type="character" w:customStyle="1" w:styleId="NoSpacingChar">
    <w:name w:val="No Spacing Char"/>
    <w:link w:val="NoSpacing"/>
    <w:uiPriority w:val="1"/>
    <w:rsid w:val="005E5403"/>
    <w:rPr>
      <w:rFonts w:ascii="Calibri" w:hAnsi="Calibri"/>
      <w:sz w:val="22"/>
      <w:szCs w:val="22"/>
      <w:lang w:val="en-US" w:eastAsia="en-US" w:bidi="ar-SA"/>
    </w:rPr>
  </w:style>
  <w:style w:type="table" w:styleId="TableList5">
    <w:name w:val="Table List 5"/>
    <w:basedOn w:val="TableNormal"/>
    <w:rsid w:val="008B3D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Default">
    <w:name w:val="Default"/>
    <w:rsid w:val="0002063D"/>
    <w:pPr>
      <w:autoSpaceDE w:val="0"/>
      <w:autoSpaceDN w:val="0"/>
      <w:adjustRightInd w:val="0"/>
    </w:pPr>
    <w:rPr>
      <w:color w:val="000000"/>
      <w:sz w:val="24"/>
      <w:szCs w:val="24"/>
      <w:lang w:val="en-GB"/>
    </w:rPr>
  </w:style>
  <w:style w:type="character" w:customStyle="1" w:styleId="personname">
    <w:name w:val="person_name"/>
    <w:rsid w:val="008D5275"/>
  </w:style>
  <w:style w:type="character" w:styleId="Emphasis">
    <w:name w:val="Emphasis"/>
    <w:uiPriority w:val="20"/>
    <w:qFormat/>
    <w:rsid w:val="008D5275"/>
    <w:rPr>
      <w:i/>
      <w:iCs/>
    </w:rPr>
  </w:style>
  <w:style w:type="paragraph" w:styleId="FootnoteText">
    <w:name w:val="footnote text"/>
    <w:aliases w:val="Char Char, Char Char"/>
    <w:basedOn w:val="Normal"/>
    <w:link w:val="FootnoteTextChar"/>
    <w:uiPriority w:val="99"/>
    <w:unhideWhenUsed/>
    <w:rsid w:val="000842F3"/>
    <w:pPr>
      <w:spacing w:line="360" w:lineRule="auto"/>
      <w:jc w:val="both"/>
    </w:pPr>
    <w:rPr>
      <w:rFonts w:eastAsia="MS Mincho"/>
      <w:sz w:val="20"/>
      <w:lang w:val="en-GB"/>
    </w:rPr>
  </w:style>
  <w:style w:type="character" w:customStyle="1" w:styleId="FootnoteTextChar">
    <w:name w:val="Footnote Text Char"/>
    <w:aliases w:val="Char Char Char, Char Char Char"/>
    <w:basedOn w:val="DefaultParagraphFont"/>
    <w:link w:val="FootnoteText"/>
    <w:uiPriority w:val="99"/>
    <w:rsid w:val="000842F3"/>
    <w:rPr>
      <w:rFonts w:eastAsia="MS Mincho"/>
      <w:szCs w:val="24"/>
      <w:lang w:val="en-GB"/>
    </w:rPr>
  </w:style>
  <w:style w:type="character" w:styleId="FootnoteReference">
    <w:name w:val="footnote reference"/>
    <w:uiPriority w:val="99"/>
    <w:unhideWhenUsed/>
    <w:rsid w:val="002D76EA"/>
    <w:rPr>
      <w:vertAlign w:val="superscript"/>
    </w:rPr>
  </w:style>
  <w:style w:type="paragraph" w:customStyle="1" w:styleId="Footnote">
    <w:name w:val="Footnote"/>
    <w:basedOn w:val="FootnoteText"/>
    <w:link w:val="FootnoteChar"/>
    <w:qFormat/>
    <w:rsid w:val="002D76EA"/>
    <w:pPr>
      <w:keepLines/>
      <w:spacing w:line="240" w:lineRule="exact"/>
      <w:contextualSpacing/>
    </w:pPr>
    <w:rPr>
      <w:szCs w:val="20"/>
    </w:rPr>
  </w:style>
  <w:style w:type="character" w:customStyle="1" w:styleId="FootnoteChar">
    <w:name w:val="Footnote Char"/>
    <w:link w:val="Footnote"/>
    <w:rsid w:val="002D76EA"/>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1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43C"/>
    <w:rPr>
      <w:rFonts w:ascii="Tahoma" w:hAnsi="Tahoma" w:cs="Tahoma"/>
      <w:sz w:val="16"/>
      <w:szCs w:val="16"/>
    </w:rPr>
  </w:style>
  <w:style w:type="character" w:styleId="Hyperlink">
    <w:name w:val="Hyperlink"/>
    <w:rsid w:val="00AF543C"/>
    <w:rPr>
      <w:color w:val="0000FF"/>
      <w:u w:val="single"/>
    </w:rPr>
  </w:style>
  <w:style w:type="paragraph" w:styleId="Header">
    <w:name w:val="header"/>
    <w:basedOn w:val="Normal"/>
    <w:link w:val="HeaderChar"/>
    <w:uiPriority w:val="99"/>
    <w:rsid w:val="00B3580E"/>
    <w:pPr>
      <w:tabs>
        <w:tab w:val="center" w:pos="4680"/>
        <w:tab w:val="right" w:pos="9360"/>
      </w:tabs>
    </w:pPr>
  </w:style>
  <w:style w:type="character" w:customStyle="1" w:styleId="HeaderChar">
    <w:name w:val="Header Char"/>
    <w:link w:val="Header"/>
    <w:uiPriority w:val="99"/>
    <w:rsid w:val="00B3580E"/>
    <w:rPr>
      <w:sz w:val="24"/>
      <w:szCs w:val="24"/>
    </w:rPr>
  </w:style>
  <w:style w:type="paragraph" w:styleId="Footer">
    <w:name w:val="footer"/>
    <w:basedOn w:val="Normal"/>
    <w:link w:val="FooterChar"/>
    <w:uiPriority w:val="99"/>
    <w:rsid w:val="00B3580E"/>
    <w:pPr>
      <w:tabs>
        <w:tab w:val="center" w:pos="4680"/>
        <w:tab w:val="right" w:pos="9360"/>
      </w:tabs>
    </w:pPr>
  </w:style>
  <w:style w:type="character" w:customStyle="1" w:styleId="FooterChar">
    <w:name w:val="Footer Char"/>
    <w:link w:val="Footer"/>
    <w:uiPriority w:val="99"/>
    <w:rsid w:val="00B3580E"/>
    <w:rPr>
      <w:sz w:val="24"/>
      <w:szCs w:val="24"/>
    </w:rPr>
  </w:style>
  <w:style w:type="character" w:styleId="Strong">
    <w:name w:val="Strong"/>
    <w:uiPriority w:val="22"/>
    <w:qFormat/>
    <w:rsid w:val="001D3AB6"/>
    <w:rPr>
      <w:b/>
      <w:bCs/>
    </w:rPr>
  </w:style>
  <w:style w:type="paragraph" w:styleId="ListParagraph">
    <w:name w:val="List Paragraph"/>
    <w:basedOn w:val="Normal"/>
    <w:uiPriority w:val="34"/>
    <w:qFormat/>
    <w:rsid w:val="006A615C"/>
    <w:pPr>
      <w:ind w:left="720"/>
    </w:pPr>
  </w:style>
  <w:style w:type="table" w:styleId="TableGrid">
    <w:name w:val="Table Grid"/>
    <w:basedOn w:val="TableNormal"/>
    <w:uiPriority w:val="59"/>
    <w:rsid w:val="00EC2E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E5403"/>
    <w:rPr>
      <w:rFonts w:ascii="Calibri" w:hAnsi="Calibri"/>
      <w:sz w:val="22"/>
      <w:szCs w:val="22"/>
    </w:rPr>
  </w:style>
  <w:style w:type="character" w:customStyle="1" w:styleId="NoSpacingChar">
    <w:name w:val="No Spacing Char"/>
    <w:link w:val="NoSpacing"/>
    <w:uiPriority w:val="1"/>
    <w:rsid w:val="005E5403"/>
    <w:rPr>
      <w:rFonts w:ascii="Calibri" w:hAnsi="Calibri"/>
      <w:sz w:val="22"/>
      <w:szCs w:val="22"/>
      <w:lang w:val="en-US" w:eastAsia="en-US" w:bidi="ar-SA"/>
    </w:rPr>
  </w:style>
  <w:style w:type="table" w:styleId="TableList5">
    <w:name w:val="Table List 5"/>
    <w:basedOn w:val="TableNormal"/>
    <w:rsid w:val="008B3D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Default">
    <w:name w:val="Default"/>
    <w:rsid w:val="0002063D"/>
    <w:pPr>
      <w:autoSpaceDE w:val="0"/>
      <w:autoSpaceDN w:val="0"/>
      <w:adjustRightInd w:val="0"/>
    </w:pPr>
    <w:rPr>
      <w:color w:val="000000"/>
      <w:sz w:val="24"/>
      <w:szCs w:val="24"/>
      <w:lang w:val="en-GB"/>
    </w:rPr>
  </w:style>
  <w:style w:type="character" w:customStyle="1" w:styleId="personname">
    <w:name w:val="person_name"/>
    <w:rsid w:val="008D5275"/>
  </w:style>
  <w:style w:type="character" w:styleId="Emphasis">
    <w:name w:val="Emphasis"/>
    <w:uiPriority w:val="20"/>
    <w:qFormat/>
    <w:rsid w:val="008D5275"/>
    <w:rPr>
      <w:i/>
      <w:iCs/>
    </w:rPr>
  </w:style>
  <w:style w:type="paragraph" w:styleId="FootnoteText">
    <w:name w:val="footnote text"/>
    <w:aliases w:val="Char Char, Char Char"/>
    <w:basedOn w:val="Normal"/>
    <w:link w:val="FootnoteTextChar"/>
    <w:uiPriority w:val="99"/>
    <w:unhideWhenUsed/>
    <w:rsid w:val="000842F3"/>
    <w:pPr>
      <w:spacing w:line="360" w:lineRule="auto"/>
      <w:jc w:val="both"/>
    </w:pPr>
    <w:rPr>
      <w:rFonts w:eastAsia="MS Mincho"/>
      <w:sz w:val="20"/>
      <w:lang w:val="en-GB"/>
    </w:rPr>
  </w:style>
  <w:style w:type="character" w:customStyle="1" w:styleId="FootnoteTextChar">
    <w:name w:val="Footnote Text Char"/>
    <w:aliases w:val="Char Char Char, Char Char Char"/>
    <w:basedOn w:val="DefaultParagraphFont"/>
    <w:link w:val="FootnoteText"/>
    <w:uiPriority w:val="99"/>
    <w:rsid w:val="000842F3"/>
    <w:rPr>
      <w:rFonts w:eastAsia="MS Mincho"/>
      <w:szCs w:val="24"/>
      <w:lang w:val="en-GB"/>
    </w:rPr>
  </w:style>
  <w:style w:type="character" w:styleId="FootnoteReference">
    <w:name w:val="footnote reference"/>
    <w:uiPriority w:val="99"/>
    <w:unhideWhenUsed/>
    <w:rsid w:val="002D76EA"/>
    <w:rPr>
      <w:vertAlign w:val="superscript"/>
    </w:rPr>
  </w:style>
  <w:style w:type="paragraph" w:customStyle="1" w:styleId="Footnote">
    <w:name w:val="Footnote"/>
    <w:basedOn w:val="FootnoteText"/>
    <w:link w:val="FootnoteChar"/>
    <w:qFormat/>
    <w:rsid w:val="002D76EA"/>
    <w:pPr>
      <w:keepLines/>
      <w:spacing w:line="240" w:lineRule="exact"/>
      <w:contextualSpacing/>
    </w:pPr>
    <w:rPr>
      <w:szCs w:val="20"/>
    </w:rPr>
  </w:style>
  <w:style w:type="character" w:customStyle="1" w:styleId="FootnoteChar">
    <w:name w:val="Footnote Char"/>
    <w:link w:val="Footnote"/>
    <w:rsid w:val="002D76EA"/>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msv2.iium.edu.my/hor/research/RIGS16-007-0171/deta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msv2.iium.edu.my/hor/research/RIGS16-007-0171/deta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49CE-D198-46A9-8BC6-995FC65B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8342</Words>
  <Characters>47550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SEMINAR ON RESEARCH FINDINGS</vt:lpstr>
    </vt:vector>
  </TitlesOfParts>
  <Company>iium</Company>
  <LinksUpToDate>false</LinksUpToDate>
  <CharactersWithSpaces>55781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ON RESEARCH FINDINGS</dc:title>
  <dc:creator>rc</dc:creator>
  <cp:lastModifiedBy>DR. WAN ZULHAFIZ</cp:lastModifiedBy>
  <cp:revision>4</cp:revision>
  <cp:lastPrinted>2017-11-17T07:23:00Z</cp:lastPrinted>
  <dcterms:created xsi:type="dcterms:W3CDTF">2017-11-17T07:23:00Z</dcterms:created>
  <dcterms:modified xsi:type="dcterms:W3CDTF">2017-11-17T09:09:00Z</dcterms:modified>
</cp:coreProperties>
</file>