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1C4B43" w14:textId="528BB9BF" w:rsidR="00353DF5" w:rsidRPr="00BC7384" w:rsidRDefault="00353DF5" w:rsidP="00BC7384">
      <w:pPr>
        <w:pStyle w:val="Heading1"/>
        <w:spacing w:line="360" w:lineRule="auto"/>
        <w:rPr>
          <w:rFonts w:ascii="Arial Nova" w:hAnsi="Arial Nova" w:cs="Arial"/>
          <w:szCs w:val="24"/>
        </w:rPr>
      </w:pPr>
      <w:r w:rsidRPr="00BC7384">
        <w:rPr>
          <w:rFonts w:ascii="Arial Nova" w:hAnsi="Arial Nova" w:cs="Arial"/>
          <w:szCs w:val="24"/>
        </w:rPr>
        <w:t>SUMMARY OF RESEARCH PROJECT</w:t>
      </w:r>
      <w:r w:rsidR="00127E84" w:rsidRPr="00BC7384">
        <w:rPr>
          <w:rFonts w:ascii="Arial Nova" w:hAnsi="Arial Nova" w:cs="Arial"/>
          <w:szCs w:val="24"/>
        </w:rPr>
        <w:t xml:space="preserve"> </w:t>
      </w:r>
    </w:p>
    <w:p w14:paraId="76802280" w14:textId="165D85AD" w:rsidR="00353DF5" w:rsidRPr="00BC7384" w:rsidRDefault="00353DF5" w:rsidP="00BC7384">
      <w:pPr>
        <w:spacing w:line="360" w:lineRule="auto"/>
        <w:jc w:val="both"/>
        <w:rPr>
          <w:rFonts w:ascii="Arial Nova" w:hAnsi="Arial Nova" w:cs="Arial"/>
        </w:rPr>
      </w:pPr>
    </w:p>
    <w:p w14:paraId="1CDE0389" w14:textId="0C3A4F67" w:rsidR="001F02C3" w:rsidRPr="00BC7384" w:rsidRDefault="001F02C3" w:rsidP="00BC7384">
      <w:pPr>
        <w:spacing w:line="360" w:lineRule="auto"/>
        <w:jc w:val="center"/>
        <w:rPr>
          <w:rFonts w:ascii="Arial Nova" w:hAnsi="Arial Nova" w:cs="Arial"/>
          <w:b/>
          <w:bCs/>
        </w:rPr>
      </w:pPr>
      <w:r w:rsidRPr="00BC7384">
        <w:rPr>
          <w:rFonts w:ascii="Arial Nova" w:hAnsi="Arial Nova" w:cs="Arial"/>
          <w:b/>
          <w:bCs/>
        </w:rPr>
        <w:t>The Implementation of Environmental Auditing Practices in Local Governments in Malaysia</w:t>
      </w:r>
    </w:p>
    <w:p w14:paraId="4B67E98B" w14:textId="77777777" w:rsidR="00353DF5" w:rsidRPr="00BC7384" w:rsidRDefault="00353DF5" w:rsidP="00BC7384">
      <w:pPr>
        <w:spacing w:line="360" w:lineRule="auto"/>
        <w:jc w:val="both"/>
        <w:rPr>
          <w:rFonts w:ascii="Arial Nova" w:hAnsi="Arial Nova" w:cs="Arial"/>
        </w:rPr>
      </w:pPr>
    </w:p>
    <w:p w14:paraId="6C7760D2" w14:textId="7D324278" w:rsidR="00353DF5" w:rsidRPr="00BC7384" w:rsidRDefault="00353DF5" w:rsidP="00A16F5F">
      <w:pPr>
        <w:spacing w:line="360" w:lineRule="auto"/>
        <w:jc w:val="center"/>
        <w:rPr>
          <w:rFonts w:ascii="Arial Nova" w:hAnsi="Arial Nova" w:cs="Arial"/>
          <w:b/>
        </w:rPr>
      </w:pPr>
      <w:r w:rsidRPr="00BC7384">
        <w:rPr>
          <w:rFonts w:ascii="Arial Nova" w:hAnsi="Arial Nova" w:cs="Arial"/>
          <w:b/>
        </w:rPr>
        <w:t>Abstract</w:t>
      </w:r>
    </w:p>
    <w:p w14:paraId="722100AF" w14:textId="507574F5" w:rsidR="00353DF5" w:rsidRPr="00BC7384" w:rsidRDefault="001F02C3" w:rsidP="00BC7384">
      <w:pPr>
        <w:spacing w:line="360" w:lineRule="auto"/>
        <w:jc w:val="both"/>
        <w:rPr>
          <w:rFonts w:ascii="Arial Nova" w:hAnsi="Arial Nova" w:cs="Arial"/>
        </w:rPr>
      </w:pPr>
      <w:r w:rsidRPr="00BC7384">
        <w:rPr>
          <w:rFonts w:ascii="Arial Nova" w:hAnsi="Arial Nova" w:cs="Arial"/>
        </w:rPr>
        <w:t xml:space="preserve">National Audit Department (NAD) (2015) highlighted the occurrence of environmental issues in its report in MLGs. It was notably found that environmental audit practices (EAP) in Malaysian local governments (MLGs) were conducted based on the five-year interval due to the high number of auditees, shortage of internal auditors, and time constraint. Hence, the responsibility to conduct EAPs is determined by the respective MLGs. The absence of uniform EAP for MLGs had compelled the internal auditors in MLGs to draft their own guideline for EAP, thus vastly differing in accordance with respective MLG jurisdiction. Moreover, exploration on the implementation of EAPs by MLGs across Malaysia in practical reality is in scarcity. </w:t>
      </w:r>
    </w:p>
    <w:p w14:paraId="758016DE" w14:textId="77777777" w:rsidR="00353DF5" w:rsidRPr="00BC7384" w:rsidRDefault="00353DF5" w:rsidP="00BC7384">
      <w:pPr>
        <w:spacing w:line="360" w:lineRule="auto"/>
        <w:jc w:val="both"/>
        <w:rPr>
          <w:rFonts w:ascii="Arial Nova" w:hAnsi="Arial Nova" w:cs="Arial"/>
          <w:b/>
          <w:bCs/>
        </w:rPr>
      </w:pPr>
    </w:p>
    <w:p w14:paraId="4DFA2E65" w14:textId="77777777" w:rsidR="00353DF5" w:rsidRPr="00BC7384" w:rsidRDefault="00353DF5" w:rsidP="00BC7384">
      <w:pPr>
        <w:spacing w:line="360" w:lineRule="auto"/>
        <w:jc w:val="both"/>
        <w:rPr>
          <w:rFonts w:ascii="Arial Nova" w:hAnsi="Arial Nova" w:cs="Arial"/>
          <w:b/>
          <w:bCs/>
        </w:rPr>
      </w:pPr>
      <w:r w:rsidRPr="00BC7384">
        <w:rPr>
          <w:rFonts w:ascii="Arial Nova" w:hAnsi="Arial Nova" w:cs="Arial"/>
          <w:b/>
          <w:bCs/>
        </w:rPr>
        <w:t xml:space="preserve">Keywords </w:t>
      </w:r>
    </w:p>
    <w:p w14:paraId="11D2BA53" w14:textId="59D9F332" w:rsidR="00353DF5" w:rsidRPr="00BC7384" w:rsidRDefault="001F02C3" w:rsidP="00BC7384">
      <w:pPr>
        <w:spacing w:line="360" w:lineRule="auto"/>
        <w:jc w:val="both"/>
        <w:rPr>
          <w:rFonts w:ascii="Arial Nova" w:hAnsi="Arial Nova" w:cs="Arial"/>
          <w:i/>
          <w:iCs/>
        </w:rPr>
      </w:pPr>
      <w:r w:rsidRPr="00BC7384">
        <w:rPr>
          <w:rFonts w:ascii="Arial Nova" w:hAnsi="Arial Nova" w:cs="Arial"/>
          <w:i/>
        </w:rPr>
        <w:t>Environmental audit, local government, environmental programs</w:t>
      </w:r>
    </w:p>
    <w:p w14:paraId="0A24264A" w14:textId="77777777" w:rsidR="00353DF5" w:rsidRPr="00BC7384" w:rsidRDefault="00353DF5" w:rsidP="00BC7384">
      <w:pPr>
        <w:spacing w:line="360" w:lineRule="auto"/>
        <w:jc w:val="both"/>
        <w:rPr>
          <w:rFonts w:ascii="Arial Nova" w:hAnsi="Arial Nova" w:cs="Arial"/>
          <w:b/>
        </w:rPr>
      </w:pPr>
    </w:p>
    <w:p w14:paraId="6DBBF2EE" w14:textId="3B602DCF" w:rsidR="00353DF5" w:rsidRPr="00BC7384" w:rsidRDefault="002A6688" w:rsidP="00BC7384">
      <w:pPr>
        <w:spacing w:line="360" w:lineRule="auto"/>
        <w:jc w:val="both"/>
        <w:rPr>
          <w:rFonts w:ascii="Arial Nova" w:hAnsi="Arial Nova" w:cs="Arial"/>
          <w:b/>
          <w:bCs/>
        </w:rPr>
      </w:pPr>
      <w:r w:rsidRPr="00BC7384">
        <w:rPr>
          <w:rFonts w:ascii="Arial Nova" w:hAnsi="Arial Nova" w:cs="Arial"/>
          <w:b/>
          <w:bCs/>
        </w:rPr>
        <w:t xml:space="preserve">Introduction </w:t>
      </w:r>
    </w:p>
    <w:p w14:paraId="5DBA7365" w14:textId="77777777" w:rsidR="005C4882" w:rsidRPr="00BC7384" w:rsidRDefault="005C4882" w:rsidP="00BC7384">
      <w:pPr>
        <w:spacing w:line="360" w:lineRule="auto"/>
        <w:jc w:val="both"/>
        <w:rPr>
          <w:rFonts w:ascii="Arial Nova" w:hAnsi="Arial Nova"/>
        </w:rPr>
      </w:pPr>
      <w:r w:rsidRPr="00BC7384">
        <w:rPr>
          <w:rFonts w:ascii="Arial Nova" w:hAnsi="Arial Nova"/>
        </w:rPr>
        <w:t xml:space="preserve">Rapid urbanization of the country and detrimental effect of the industrialization has created challenging environment for the local councils as citizens expect better services and accountability from its local council. It is not surprising to see local councils in Malaysia received criticisms on its service delivery and its inefficiency in discharging its accountability as cases on pollutions, poor sewage system and contagious disease such as dengue are on rise. Numerous initiatives have been enacted in many local councils as more information and greater transparency on environmental related activities conducted by the local councils are highly demanded. In line with the sustainable management practices, the implementation of environmental auditing in assessing the </w:t>
      </w:r>
      <w:r w:rsidRPr="00BC7384">
        <w:rPr>
          <w:rFonts w:ascii="Arial Nova" w:hAnsi="Arial Nova"/>
        </w:rPr>
        <w:lastRenderedPageBreak/>
        <w:t>effectiveness of environmental programs and activities in local authorities are pertinent</w:t>
      </w:r>
      <w:r w:rsidRPr="00BC7384">
        <w:rPr>
          <w:rStyle w:val="FootnoteReference"/>
          <w:rFonts w:ascii="Arial Nova" w:hAnsi="Arial Nova"/>
        </w:rPr>
        <w:footnoteReference w:id="1"/>
      </w:r>
      <w:r w:rsidRPr="00BC7384">
        <w:rPr>
          <w:rFonts w:ascii="Arial Nova" w:hAnsi="Arial Nova"/>
        </w:rPr>
        <w:t xml:space="preserve"> (Hakim and </w:t>
      </w:r>
      <w:proofErr w:type="spellStart"/>
      <w:r w:rsidRPr="00BC7384">
        <w:rPr>
          <w:rFonts w:ascii="Arial Nova" w:hAnsi="Arial Nova"/>
        </w:rPr>
        <w:t>Yunus</w:t>
      </w:r>
      <w:proofErr w:type="spellEnd"/>
      <w:r w:rsidRPr="00BC7384">
        <w:rPr>
          <w:rFonts w:ascii="Arial Nova" w:hAnsi="Arial Nova"/>
        </w:rPr>
        <w:t xml:space="preserve">, 2017). </w:t>
      </w:r>
    </w:p>
    <w:p w14:paraId="54E9D3A4" w14:textId="026DFC52" w:rsidR="005C4882" w:rsidRPr="00BC7384" w:rsidRDefault="005C4882" w:rsidP="00BC7384">
      <w:pPr>
        <w:spacing w:line="360" w:lineRule="auto"/>
        <w:ind w:firstLine="720"/>
        <w:jc w:val="both"/>
        <w:rPr>
          <w:rFonts w:ascii="Arial Nova" w:hAnsi="Arial Nova"/>
        </w:rPr>
      </w:pPr>
      <w:r w:rsidRPr="00BC7384">
        <w:rPr>
          <w:rFonts w:ascii="Arial Nova" w:hAnsi="Arial Nova"/>
        </w:rPr>
        <w:t xml:space="preserve">Current study aims to describe the emerging role of environmental audit practices in monitoring the implementation of environmental programs and activities in the local councils. Little is known on the mechanism and approaches adopted in performing the environmental audit in local authorities. </w:t>
      </w:r>
      <w:r w:rsidR="00127E84" w:rsidRPr="00BC7384">
        <w:rPr>
          <w:rFonts w:ascii="Arial Nova" w:hAnsi="Arial Nova" w:cs="Arial"/>
        </w:rPr>
        <w:t xml:space="preserve">The absence of uniform EAP for MLGs (Soh &amp; </w:t>
      </w:r>
      <w:proofErr w:type="spellStart"/>
      <w:r w:rsidR="00127E84" w:rsidRPr="00BC7384">
        <w:rPr>
          <w:rFonts w:ascii="Arial Nova" w:hAnsi="Arial Nova" w:cs="Arial"/>
        </w:rPr>
        <w:t>Martinov</w:t>
      </w:r>
      <w:proofErr w:type="spellEnd"/>
      <w:r w:rsidR="00127E84" w:rsidRPr="00BC7384">
        <w:rPr>
          <w:rFonts w:ascii="Arial Nova" w:hAnsi="Arial Nova" w:cs="Arial"/>
        </w:rPr>
        <w:t xml:space="preserve">-Bennie, 2015; Maltby, 1995) had compelled the internal auditors in MLGs to draft their own guideline for EAP, thus vastly differing in accordance with respective MLG jurisdiction. </w:t>
      </w:r>
      <w:r w:rsidRPr="00BC7384">
        <w:rPr>
          <w:rFonts w:ascii="Arial Nova" w:hAnsi="Arial Nova"/>
        </w:rPr>
        <w:t xml:space="preserve">Besides, implementation of environmental audit practices is not a mandatory requirement for local authorities in Malaysia. Thus, it is interesting to explore specific determinants that encourage an effective implementation of environmental audit in local authorities. </w:t>
      </w:r>
    </w:p>
    <w:p w14:paraId="3B0A1860" w14:textId="79AEF7DA" w:rsidR="001F02C3" w:rsidRPr="00BC7384" w:rsidRDefault="002A6688" w:rsidP="00A16F5F">
      <w:pPr>
        <w:spacing w:line="360" w:lineRule="auto"/>
        <w:ind w:firstLine="720"/>
        <w:jc w:val="both"/>
        <w:rPr>
          <w:rFonts w:ascii="Arial Nova" w:hAnsi="Arial Nova" w:cs="Arial"/>
        </w:rPr>
      </w:pPr>
      <w:r w:rsidRPr="00BC7384">
        <w:rPr>
          <w:rFonts w:ascii="Arial Nova" w:hAnsi="Arial Nova" w:cs="Arial"/>
        </w:rPr>
        <w:t xml:space="preserve">One primary responsibility of the Malaysian local governments (MLGs) is maintaining the environment by </w:t>
      </w:r>
      <w:proofErr w:type="spellStart"/>
      <w:r w:rsidRPr="00BC7384">
        <w:rPr>
          <w:rFonts w:ascii="Arial Nova" w:hAnsi="Arial Nova" w:cs="Arial"/>
        </w:rPr>
        <w:t>organising</w:t>
      </w:r>
      <w:proofErr w:type="spellEnd"/>
      <w:r w:rsidRPr="00BC7384">
        <w:rPr>
          <w:rFonts w:ascii="Arial Nova" w:hAnsi="Arial Nova" w:cs="Arial"/>
        </w:rPr>
        <w:t xml:space="preserve"> a range of environmental </w:t>
      </w:r>
      <w:proofErr w:type="spellStart"/>
      <w:r w:rsidRPr="00BC7384">
        <w:rPr>
          <w:rFonts w:ascii="Arial Nova" w:hAnsi="Arial Nova" w:cs="Arial"/>
        </w:rPr>
        <w:t>programmes</w:t>
      </w:r>
      <w:proofErr w:type="spellEnd"/>
      <w:r w:rsidRPr="00BC7384">
        <w:rPr>
          <w:rFonts w:ascii="Arial Nova" w:hAnsi="Arial Nova" w:cs="Arial"/>
        </w:rPr>
        <w:t>. The involvement of MLGs in combating the uprising environmental issues is in line with the requirement of the Local Government Act. The Act stipulates that the MLGs should maintain and manage the welfare of the community (Local Authorities Ordinance 1961, 1961; Local Government Act 1976, 1976; Local Government Ordinance 1996, 1996). Some of the activities include maintaining public amenities, as well as social and environmental matters (Parliament of Malaysia, 2009). Since they hold the power to manage their funds, MLGs are responsible for ensuring that all activities meet their objectives. In order to assess the achievement of their activities, the MLGs have set up their own internal audit department. This effort was initiated in year 2004 when the Director-General of Malaysia, through Treasury Circular No. 9, 2004, obliged the MLGs to establish their own internal audit department. The primary function of this internal audit department is to oversee the financial management of the MLGs (</w:t>
      </w:r>
      <w:proofErr w:type="spellStart"/>
      <w:r w:rsidRPr="00BC7384">
        <w:rPr>
          <w:rFonts w:ascii="Arial Nova" w:hAnsi="Arial Nova" w:cs="Arial"/>
        </w:rPr>
        <w:t>Ketua</w:t>
      </w:r>
      <w:proofErr w:type="spellEnd"/>
      <w:r w:rsidRPr="00BC7384">
        <w:rPr>
          <w:rFonts w:ascii="Arial Nova" w:hAnsi="Arial Nova" w:cs="Arial"/>
        </w:rPr>
        <w:t xml:space="preserve"> </w:t>
      </w:r>
      <w:proofErr w:type="spellStart"/>
      <w:r w:rsidRPr="00BC7384">
        <w:rPr>
          <w:rFonts w:ascii="Arial Nova" w:hAnsi="Arial Nova" w:cs="Arial"/>
        </w:rPr>
        <w:t>Setiausaha</w:t>
      </w:r>
      <w:proofErr w:type="spellEnd"/>
      <w:r w:rsidRPr="00BC7384">
        <w:rPr>
          <w:rFonts w:ascii="Arial Nova" w:hAnsi="Arial Nova" w:cs="Arial"/>
        </w:rPr>
        <w:t xml:space="preserve"> </w:t>
      </w:r>
      <w:proofErr w:type="spellStart"/>
      <w:r w:rsidRPr="00BC7384">
        <w:rPr>
          <w:rFonts w:ascii="Arial Nova" w:hAnsi="Arial Nova" w:cs="Arial"/>
        </w:rPr>
        <w:t>Perbendaharaan</w:t>
      </w:r>
      <w:proofErr w:type="spellEnd"/>
      <w:r w:rsidRPr="00BC7384">
        <w:rPr>
          <w:rFonts w:ascii="Arial Nova" w:hAnsi="Arial Nova" w:cs="Arial"/>
        </w:rPr>
        <w:t xml:space="preserve">, 2004). Later in 2013, the Ministry of Finance issued the Malaysia Treasury Circular PS3/1 2013, which extended the role of the internal audit </w:t>
      </w:r>
      <w:r w:rsidRPr="00BC7384">
        <w:rPr>
          <w:rFonts w:ascii="Arial Nova" w:hAnsi="Arial Nova" w:cs="Arial"/>
        </w:rPr>
        <w:lastRenderedPageBreak/>
        <w:t xml:space="preserve">department to oversee the monitoring process of the operations within the </w:t>
      </w:r>
      <w:proofErr w:type="spellStart"/>
      <w:r w:rsidRPr="00BC7384">
        <w:rPr>
          <w:rFonts w:ascii="Arial Nova" w:hAnsi="Arial Nova" w:cs="Arial"/>
        </w:rPr>
        <w:t>organisations</w:t>
      </w:r>
      <w:proofErr w:type="spellEnd"/>
      <w:r w:rsidRPr="00BC7384">
        <w:rPr>
          <w:rFonts w:ascii="Arial Nova" w:hAnsi="Arial Nova" w:cs="Arial"/>
        </w:rPr>
        <w:t xml:space="preserve"> (</w:t>
      </w:r>
      <w:proofErr w:type="spellStart"/>
      <w:r w:rsidRPr="00BC7384">
        <w:rPr>
          <w:rFonts w:ascii="Arial Nova" w:hAnsi="Arial Nova" w:cs="Arial"/>
        </w:rPr>
        <w:t>Perbendaharaan</w:t>
      </w:r>
      <w:proofErr w:type="spellEnd"/>
      <w:r w:rsidRPr="00BC7384">
        <w:rPr>
          <w:rFonts w:ascii="Arial Nova" w:hAnsi="Arial Nova" w:cs="Arial"/>
        </w:rPr>
        <w:t xml:space="preserve"> Malaysia, 2013). Therefore, the internal audit department perform auditing for all the related environmental </w:t>
      </w:r>
      <w:proofErr w:type="spellStart"/>
      <w:r w:rsidRPr="00BC7384">
        <w:rPr>
          <w:rFonts w:ascii="Arial Nova" w:hAnsi="Arial Nova" w:cs="Arial"/>
        </w:rPr>
        <w:t>programmes</w:t>
      </w:r>
      <w:proofErr w:type="spellEnd"/>
      <w:r w:rsidRPr="00BC7384">
        <w:rPr>
          <w:rFonts w:ascii="Arial Nova" w:hAnsi="Arial Nova" w:cs="Arial"/>
        </w:rPr>
        <w:t xml:space="preserve">. This auditing process is called environmental auditing practices (EAP). The literature depicts that EAP is a crucial component in monitoring environmental-related </w:t>
      </w:r>
      <w:proofErr w:type="spellStart"/>
      <w:r w:rsidRPr="00BC7384">
        <w:rPr>
          <w:rFonts w:ascii="Arial Nova" w:hAnsi="Arial Nova" w:cs="Arial"/>
        </w:rPr>
        <w:t>programmes</w:t>
      </w:r>
      <w:proofErr w:type="spellEnd"/>
      <w:r w:rsidRPr="00BC7384">
        <w:rPr>
          <w:rFonts w:ascii="Arial Nova" w:hAnsi="Arial Nova" w:cs="Arial"/>
        </w:rPr>
        <w:t xml:space="preserve"> (</w:t>
      </w:r>
      <w:proofErr w:type="spellStart"/>
      <w:r w:rsidRPr="00BC7384">
        <w:rPr>
          <w:rFonts w:ascii="Arial Nova" w:hAnsi="Arial Nova" w:cs="Arial"/>
        </w:rPr>
        <w:t>Hariz</w:t>
      </w:r>
      <w:proofErr w:type="spellEnd"/>
      <w:r w:rsidRPr="00BC7384">
        <w:rPr>
          <w:rFonts w:ascii="Arial Nova" w:hAnsi="Arial Nova" w:cs="Arial"/>
        </w:rPr>
        <w:t xml:space="preserve"> &amp; </w:t>
      </w:r>
      <w:proofErr w:type="spellStart"/>
      <w:r w:rsidRPr="00BC7384">
        <w:rPr>
          <w:rFonts w:ascii="Arial Nova" w:hAnsi="Arial Nova" w:cs="Arial"/>
        </w:rPr>
        <w:t>Bahmed</w:t>
      </w:r>
      <w:proofErr w:type="spellEnd"/>
      <w:r w:rsidRPr="00BC7384">
        <w:rPr>
          <w:rFonts w:ascii="Arial Nova" w:hAnsi="Arial Nova" w:cs="Arial"/>
        </w:rPr>
        <w:t xml:space="preserve">, 2013; </w:t>
      </w:r>
      <w:proofErr w:type="spellStart"/>
      <w:r w:rsidRPr="00BC7384">
        <w:rPr>
          <w:rFonts w:ascii="Arial Nova" w:hAnsi="Arial Nova" w:cs="Arial"/>
        </w:rPr>
        <w:t>Oviir</w:t>
      </w:r>
      <w:proofErr w:type="spellEnd"/>
      <w:r w:rsidRPr="00BC7384">
        <w:rPr>
          <w:rFonts w:ascii="Arial Nova" w:hAnsi="Arial Nova" w:cs="Arial"/>
        </w:rPr>
        <w:t xml:space="preserve">, 2012; </w:t>
      </w:r>
      <w:proofErr w:type="spellStart"/>
      <w:r w:rsidRPr="00BC7384">
        <w:rPr>
          <w:rFonts w:ascii="Arial Nova" w:hAnsi="Arial Nova" w:cs="Arial"/>
        </w:rPr>
        <w:t>Viegas</w:t>
      </w:r>
      <w:proofErr w:type="spellEnd"/>
      <w:r w:rsidRPr="00BC7384">
        <w:rPr>
          <w:rFonts w:ascii="Arial Nova" w:hAnsi="Arial Nova" w:cs="Arial"/>
        </w:rPr>
        <w:t xml:space="preserve"> et al., 2013). In order to facilitate the process of EAP implementation, some MLGs have adopted a standard published by the International Standards </w:t>
      </w:r>
      <w:proofErr w:type="spellStart"/>
      <w:r w:rsidRPr="00BC7384">
        <w:rPr>
          <w:rFonts w:ascii="Arial Nova" w:hAnsi="Arial Nova" w:cs="Arial"/>
        </w:rPr>
        <w:t>Organisation</w:t>
      </w:r>
      <w:proofErr w:type="spellEnd"/>
      <w:r w:rsidRPr="00BC7384">
        <w:rPr>
          <w:rFonts w:ascii="Arial Nova" w:hAnsi="Arial Nova" w:cs="Arial"/>
        </w:rPr>
        <w:t xml:space="preserve"> (ISO), particularly ISO 14001. The ISO 14001 refers to a standard in managing environmental management systems (SIRIM QAS International </w:t>
      </w:r>
      <w:proofErr w:type="spellStart"/>
      <w:r w:rsidRPr="00BC7384">
        <w:rPr>
          <w:rFonts w:ascii="Arial Nova" w:hAnsi="Arial Nova" w:cs="Arial"/>
        </w:rPr>
        <w:t>Sdn</w:t>
      </w:r>
      <w:proofErr w:type="spellEnd"/>
      <w:r w:rsidRPr="00BC7384">
        <w:rPr>
          <w:rFonts w:ascii="Arial Nova" w:hAnsi="Arial Nova" w:cs="Arial"/>
        </w:rPr>
        <w:t xml:space="preserve">. Bhd., 2017). This deployment had led to various settings for EAPs across different MLGs. This has certainly raised question about the differences in EAPs between MLGs with ISO 14001 certification and non-ISO 14001 certified MLGs. </w:t>
      </w:r>
    </w:p>
    <w:p w14:paraId="6A95ADD4" w14:textId="77777777" w:rsidR="002A6688" w:rsidRPr="00BC7384" w:rsidRDefault="002A6688" w:rsidP="00BC7384">
      <w:pPr>
        <w:spacing w:line="360" w:lineRule="auto"/>
        <w:ind w:firstLine="720"/>
        <w:jc w:val="both"/>
        <w:rPr>
          <w:rFonts w:ascii="Arial Nova" w:hAnsi="Arial Nova" w:cs="Arial"/>
        </w:rPr>
      </w:pPr>
      <w:r w:rsidRPr="00BC7384">
        <w:rPr>
          <w:rFonts w:ascii="Arial Nova" w:hAnsi="Arial Nova" w:cs="Arial"/>
        </w:rPr>
        <w:t xml:space="preserve">A study by </w:t>
      </w:r>
      <w:proofErr w:type="spellStart"/>
      <w:r w:rsidRPr="00BC7384">
        <w:rPr>
          <w:rFonts w:ascii="Arial Nova" w:hAnsi="Arial Nova" w:cs="Arial"/>
        </w:rPr>
        <w:t>Yusoff</w:t>
      </w:r>
      <w:proofErr w:type="spellEnd"/>
      <w:r w:rsidRPr="00BC7384">
        <w:rPr>
          <w:rFonts w:ascii="Arial Nova" w:hAnsi="Arial Nova" w:cs="Arial"/>
        </w:rPr>
        <w:t xml:space="preserve"> (2013) had identified a significant gap in the implementation of EAP between private and public </w:t>
      </w:r>
      <w:proofErr w:type="spellStart"/>
      <w:r w:rsidRPr="00BC7384">
        <w:rPr>
          <w:rFonts w:ascii="Arial Nova" w:hAnsi="Arial Nova" w:cs="Arial"/>
        </w:rPr>
        <w:t>organisations</w:t>
      </w:r>
      <w:proofErr w:type="spellEnd"/>
      <w:r w:rsidRPr="00BC7384">
        <w:rPr>
          <w:rFonts w:ascii="Arial Nova" w:hAnsi="Arial Nova" w:cs="Arial"/>
        </w:rPr>
        <w:t xml:space="preserve">. </w:t>
      </w:r>
      <w:proofErr w:type="spellStart"/>
      <w:r w:rsidRPr="00BC7384">
        <w:rPr>
          <w:rFonts w:ascii="Arial Nova" w:hAnsi="Arial Nova" w:cs="Arial"/>
        </w:rPr>
        <w:t>Organisations</w:t>
      </w:r>
      <w:proofErr w:type="spellEnd"/>
      <w:r w:rsidRPr="00BC7384">
        <w:rPr>
          <w:rFonts w:ascii="Arial Nova" w:hAnsi="Arial Nova" w:cs="Arial"/>
        </w:rPr>
        <w:t xml:space="preserve"> from the private sector are bound by various regulations concerning EAPs. Meanwhile, various New Public Management (NPM) reforms were introduced back in 1990 to give public </w:t>
      </w:r>
      <w:proofErr w:type="spellStart"/>
      <w:r w:rsidRPr="00BC7384">
        <w:rPr>
          <w:rFonts w:ascii="Arial Nova" w:hAnsi="Arial Nova" w:cs="Arial"/>
        </w:rPr>
        <w:t>organisations</w:t>
      </w:r>
      <w:proofErr w:type="spellEnd"/>
      <w:r w:rsidRPr="00BC7384">
        <w:rPr>
          <w:rFonts w:ascii="Arial Nova" w:hAnsi="Arial Nova" w:cs="Arial"/>
        </w:rPr>
        <w:t xml:space="preserve"> the freedom to design their own prevailing auditing practices (Buang, 2007; </w:t>
      </w:r>
      <w:proofErr w:type="spellStart"/>
      <w:r w:rsidRPr="00BC7384">
        <w:rPr>
          <w:rFonts w:ascii="Arial Nova" w:hAnsi="Arial Nova" w:cs="Arial"/>
        </w:rPr>
        <w:t>Haron</w:t>
      </w:r>
      <w:proofErr w:type="spellEnd"/>
      <w:r w:rsidRPr="00BC7384">
        <w:rPr>
          <w:rFonts w:ascii="Arial Nova" w:hAnsi="Arial Nova" w:cs="Arial"/>
        </w:rPr>
        <w:t xml:space="preserve">, 2015; Othman et al., 2007). This has enabled the MLGs to adopt ISO 14001 in order to improve their environmental management systems. The insights from this study highlight the different forms of EAPs between certified and non-certified MLGs. </w:t>
      </w:r>
    </w:p>
    <w:p w14:paraId="2E2C0A58" w14:textId="0B3A9262" w:rsidR="002A6688" w:rsidRPr="00BC7384" w:rsidRDefault="002A6688" w:rsidP="00BC7384">
      <w:pPr>
        <w:spacing w:line="360" w:lineRule="auto"/>
        <w:ind w:firstLine="720"/>
        <w:jc w:val="both"/>
        <w:rPr>
          <w:rFonts w:ascii="Arial Nova" w:hAnsi="Arial Nova" w:cs="Arial"/>
        </w:rPr>
      </w:pPr>
      <w:r w:rsidRPr="00BC7384">
        <w:rPr>
          <w:rFonts w:ascii="Arial Nova" w:hAnsi="Arial Nova" w:cs="Arial"/>
        </w:rPr>
        <w:t xml:space="preserve">From the theoretical perspective, the qualitative findings offer greater insights on the mechanisms adopted by different MLGs in developing their EAP deployment. The MLGs are given the autonomy to craft their own </w:t>
      </w:r>
      <w:proofErr w:type="spellStart"/>
      <w:r w:rsidRPr="00BC7384">
        <w:rPr>
          <w:rFonts w:ascii="Arial Nova" w:hAnsi="Arial Nova" w:cs="Arial"/>
        </w:rPr>
        <w:t>organisational</w:t>
      </w:r>
      <w:proofErr w:type="spellEnd"/>
      <w:r w:rsidRPr="00BC7384">
        <w:rPr>
          <w:rFonts w:ascii="Arial Nova" w:hAnsi="Arial Nova" w:cs="Arial"/>
        </w:rPr>
        <w:t xml:space="preserve"> process and collect their own sources of revenue instead of depending totally on the state government. Hence, this study sheds light on the similarities and differences of EAPs deployment between public and private sectors. This study extends the discussion on EAPs by assessing the roles of other actors, such as those charged with governance (TCG) and involved in EAP implementation. This study outlines some prospects for multiple approaches in implementing EAP, besides assisting the management to better handle their environmental </w:t>
      </w:r>
      <w:proofErr w:type="spellStart"/>
      <w:r w:rsidRPr="00BC7384">
        <w:rPr>
          <w:rFonts w:ascii="Arial Nova" w:hAnsi="Arial Nova" w:cs="Arial"/>
        </w:rPr>
        <w:t>programmes</w:t>
      </w:r>
      <w:proofErr w:type="spellEnd"/>
      <w:r w:rsidRPr="00BC7384">
        <w:rPr>
          <w:rFonts w:ascii="Arial Nova" w:hAnsi="Arial Nova" w:cs="Arial"/>
        </w:rPr>
        <w:t xml:space="preserve">. The findings are expected to provide insights for further </w:t>
      </w:r>
      <w:r w:rsidRPr="00BC7384">
        <w:rPr>
          <w:rFonts w:ascii="Arial Nova" w:hAnsi="Arial Nova" w:cs="Arial"/>
        </w:rPr>
        <w:lastRenderedPageBreak/>
        <w:t>improvements of implementation of EAP in other MLGs and become better inputs in development of EAP guidelines for MLGs in future.</w:t>
      </w:r>
    </w:p>
    <w:p w14:paraId="5EBD9F8E" w14:textId="77777777" w:rsidR="002A6688" w:rsidRPr="00BC7384" w:rsidRDefault="002A6688" w:rsidP="00BC7384">
      <w:pPr>
        <w:spacing w:line="360" w:lineRule="auto"/>
        <w:jc w:val="both"/>
        <w:rPr>
          <w:rFonts w:ascii="Arial Nova" w:hAnsi="Arial Nova" w:cs="Arial"/>
        </w:rPr>
      </w:pPr>
    </w:p>
    <w:p w14:paraId="5E6373FE" w14:textId="3AA66A62" w:rsidR="00353DF5" w:rsidRPr="00BC7384" w:rsidRDefault="00353DF5" w:rsidP="00BC7384">
      <w:pPr>
        <w:spacing w:line="360" w:lineRule="auto"/>
        <w:jc w:val="both"/>
        <w:rPr>
          <w:rFonts w:ascii="Arial Nova" w:hAnsi="Arial Nova" w:cs="Arial"/>
          <w:b/>
          <w:bCs/>
        </w:rPr>
      </w:pPr>
      <w:r w:rsidRPr="00BC7384">
        <w:rPr>
          <w:rFonts w:ascii="Arial Nova" w:hAnsi="Arial Nova" w:cs="Arial"/>
          <w:b/>
          <w:bCs/>
        </w:rPr>
        <w:t xml:space="preserve">Research objectives </w:t>
      </w:r>
    </w:p>
    <w:p w14:paraId="1D4C05C0" w14:textId="19322F63" w:rsidR="002A6688" w:rsidRPr="00BC7384" w:rsidRDefault="002A6688" w:rsidP="00BC7384">
      <w:pPr>
        <w:spacing w:line="360" w:lineRule="auto"/>
        <w:jc w:val="both"/>
        <w:rPr>
          <w:rFonts w:ascii="Arial Nova" w:hAnsi="Arial Nova" w:cs="Arial"/>
        </w:rPr>
      </w:pPr>
      <w:r w:rsidRPr="00BC7384">
        <w:rPr>
          <w:rFonts w:ascii="Arial Nova" w:hAnsi="Arial Nova" w:cs="Arial"/>
        </w:rPr>
        <w:t>Hence, the objective of the study is to explore h</w:t>
      </w:r>
      <w:r w:rsidRPr="00BC7384">
        <w:rPr>
          <w:rFonts w:ascii="Arial Nova" w:hAnsi="Arial Nova" w:cs="Arial"/>
          <w:lang w:val="en-MY"/>
        </w:rPr>
        <w:t>ow do MLGs implement their EAPs and how does the implementation process of EAPs differ.</w:t>
      </w:r>
    </w:p>
    <w:p w14:paraId="711E2641" w14:textId="77777777" w:rsidR="002A6688" w:rsidRPr="00BC7384" w:rsidRDefault="002A6688" w:rsidP="00BC7384">
      <w:pPr>
        <w:spacing w:line="360" w:lineRule="auto"/>
        <w:jc w:val="both"/>
        <w:rPr>
          <w:rFonts w:ascii="Arial Nova" w:hAnsi="Arial Nova" w:cs="Arial"/>
        </w:rPr>
      </w:pPr>
    </w:p>
    <w:p w14:paraId="34930D54" w14:textId="77777777" w:rsidR="002A6688" w:rsidRPr="00BC7384" w:rsidRDefault="002A6688" w:rsidP="00BC7384">
      <w:pPr>
        <w:spacing w:line="360" w:lineRule="auto"/>
        <w:jc w:val="both"/>
        <w:rPr>
          <w:rFonts w:ascii="Arial Nova" w:hAnsi="Arial Nova" w:cs="Arial"/>
        </w:rPr>
      </w:pPr>
      <w:r w:rsidRPr="00BC7384">
        <w:rPr>
          <w:rFonts w:ascii="Arial Nova" w:hAnsi="Arial Nova" w:cs="Arial"/>
          <w:b/>
        </w:rPr>
        <w:t>Literature review</w:t>
      </w:r>
      <w:r w:rsidRPr="00BC7384">
        <w:rPr>
          <w:rFonts w:ascii="Arial Nova" w:hAnsi="Arial Nova" w:cs="Arial"/>
        </w:rPr>
        <w:t xml:space="preserve"> </w:t>
      </w:r>
    </w:p>
    <w:p w14:paraId="087322D7" w14:textId="77777777" w:rsidR="002A6688" w:rsidRPr="00BC7384" w:rsidRDefault="002A6688" w:rsidP="00BC7384">
      <w:pPr>
        <w:spacing w:line="360" w:lineRule="auto"/>
        <w:jc w:val="both"/>
        <w:rPr>
          <w:rFonts w:ascii="Arial Nova" w:hAnsi="Arial Nova" w:cs="Arial"/>
          <w:b/>
          <w:bCs/>
        </w:rPr>
      </w:pPr>
      <w:r w:rsidRPr="00BC7384">
        <w:rPr>
          <w:rFonts w:ascii="Arial Nova" w:hAnsi="Arial Nova" w:cs="Arial"/>
          <w:b/>
          <w:bCs/>
        </w:rPr>
        <w:t xml:space="preserve">Regulatory Context </w:t>
      </w:r>
    </w:p>
    <w:p w14:paraId="440C44FB" w14:textId="77777777" w:rsidR="002A6688" w:rsidRPr="00BC7384" w:rsidRDefault="002A6688" w:rsidP="00BC7384">
      <w:pPr>
        <w:spacing w:line="360" w:lineRule="auto"/>
        <w:jc w:val="both"/>
        <w:rPr>
          <w:rFonts w:ascii="Arial Nova" w:hAnsi="Arial Nova" w:cs="Arial"/>
        </w:rPr>
      </w:pPr>
      <w:r w:rsidRPr="00BC7384">
        <w:rPr>
          <w:rFonts w:ascii="Arial Nova" w:hAnsi="Arial Nova" w:cs="Arial"/>
        </w:rPr>
        <w:t>The Malaysian government released the Treasury Circular No. 2 in 1979 to mandate the audit practices, as well as to provide guidelines at the Federal government level (Yusof et al., 2016). The circular outlined the roles and responsibilities of the internal audit function in federal government, particularly in financial management aspects, types, and scope of the audit. During early 1980s, substantial reforms had influenced the accounting research development in the Malaysian public sector (Daud, 1999). This period coincided with the advent of performance auditing within the government sector. In conjunction with these developments, the internal audit department was established in the local government.</w:t>
      </w:r>
    </w:p>
    <w:p w14:paraId="7DEB8C24" w14:textId="77777777" w:rsidR="002A6688" w:rsidRPr="00BC7384" w:rsidRDefault="002A6688" w:rsidP="00BC7384">
      <w:pPr>
        <w:spacing w:line="360" w:lineRule="auto"/>
        <w:ind w:firstLine="720"/>
        <w:jc w:val="both"/>
        <w:rPr>
          <w:rFonts w:ascii="Arial Nova" w:hAnsi="Arial Nova" w:cs="Arial"/>
        </w:rPr>
      </w:pPr>
      <w:r w:rsidRPr="00BC7384">
        <w:rPr>
          <w:rFonts w:ascii="Arial Nova" w:hAnsi="Arial Nova" w:cs="Arial"/>
        </w:rPr>
        <w:t xml:space="preserve">In the 1990s, the Malaysian government, upon responding to the public demands for better </w:t>
      </w:r>
      <w:proofErr w:type="spellStart"/>
      <w:r w:rsidRPr="00BC7384">
        <w:rPr>
          <w:rFonts w:ascii="Arial Nova" w:hAnsi="Arial Nova" w:cs="Arial"/>
        </w:rPr>
        <w:t>programme</w:t>
      </w:r>
      <w:proofErr w:type="spellEnd"/>
      <w:r w:rsidRPr="00BC7384">
        <w:rPr>
          <w:rFonts w:ascii="Arial Nova" w:hAnsi="Arial Nova" w:cs="Arial"/>
        </w:rPr>
        <w:t xml:space="preserve"> and accountability, had begun introducing various NPM systems-based reform within the public sector. This policy called for the public sector </w:t>
      </w:r>
      <w:proofErr w:type="spellStart"/>
      <w:r w:rsidRPr="00BC7384">
        <w:rPr>
          <w:rFonts w:ascii="Arial Nova" w:hAnsi="Arial Nova" w:cs="Arial"/>
        </w:rPr>
        <w:t>organisations</w:t>
      </w:r>
      <w:proofErr w:type="spellEnd"/>
      <w:r w:rsidRPr="00BC7384">
        <w:rPr>
          <w:rFonts w:ascii="Arial Nova" w:hAnsi="Arial Nova" w:cs="Arial"/>
        </w:rPr>
        <w:t xml:space="preserve"> to operate similarly to the private sector </w:t>
      </w:r>
      <w:proofErr w:type="spellStart"/>
      <w:r w:rsidRPr="00BC7384">
        <w:rPr>
          <w:rFonts w:ascii="Arial Nova" w:hAnsi="Arial Nova" w:cs="Arial"/>
        </w:rPr>
        <w:t>organisations</w:t>
      </w:r>
      <w:proofErr w:type="spellEnd"/>
      <w:r w:rsidRPr="00BC7384">
        <w:rPr>
          <w:rFonts w:ascii="Arial Nova" w:hAnsi="Arial Nova" w:cs="Arial"/>
        </w:rPr>
        <w:t xml:space="preserve"> by employing various management tools previously used only in the private sector. The primary focus of the NPM initiatives was to enhance the service delivery of public </w:t>
      </w:r>
      <w:proofErr w:type="spellStart"/>
      <w:r w:rsidRPr="00BC7384">
        <w:rPr>
          <w:rFonts w:ascii="Arial Nova" w:hAnsi="Arial Nova" w:cs="Arial"/>
        </w:rPr>
        <w:t>organisations</w:t>
      </w:r>
      <w:proofErr w:type="spellEnd"/>
      <w:r w:rsidRPr="00BC7384">
        <w:rPr>
          <w:rFonts w:ascii="Arial Nova" w:hAnsi="Arial Nova" w:cs="Arial"/>
        </w:rPr>
        <w:t xml:space="preserve"> that led the structure of the public sector auditing to evolve alongside other changes stemming from governmental policy (Office of the Auditor-General, 2007). The NPM reforms led to several changes in the roles of internal auditors and conventional auditing process (Yusof, </w:t>
      </w:r>
      <w:proofErr w:type="spellStart"/>
      <w:r w:rsidRPr="00BC7384">
        <w:rPr>
          <w:rFonts w:ascii="Arial Nova" w:hAnsi="Arial Nova" w:cs="Arial"/>
        </w:rPr>
        <w:t>Haron</w:t>
      </w:r>
      <w:proofErr w:type="spellEnd"/>
      <w:r w:rsidRPr="00BC7384">
        <w:rPr>
          <w:rFonts w:ascii="Arial Nova" w:hAnsi="Arial Nova" w:cs="Arial"/>
        </w:rPr>
        <w:t xml:space="preserve"> &amp; Ismail, 2016). After that, the NAD shifted its attention from the auditing process in financial management to performance auditing in early 2000s (Omar et al., 2007). </w:t>
      </w:r>
    </w:p>
    <w:p w14:paraId="5ADEE527" w14:textId="3409FAE9" w:rsidR="002A6688" w:rsidRPr="00BC7384" w:rsidRDefault="002A6688" w:rsidP="00BC7384">
      <w:pPr>
        <w:spacing w:line="360" w:lineRule="auto"/>
        <w:ind w:firstLine="720"/>
        <w:jc w:val="both"/>
        <w:rPr>
          <w:rFonts w:ascii="Arial Nova" w:hAnsi="Arial Nova" w:cs="Arial"/>
        </w:rPr>
      </w:pPr>
      <w:r w:rsidRPr="00BC7384">
        <w:rPr>
          <w:rFonts w:ascii="Arial Nova" w:hAnsi="Arial Nova" w:cs="Arial"/>
        </w:rPr>
        <w:lastRenderedPageBreak/>
        <w:t xml:space="preserve">Performance auditing refers to the auditing process and procedure that determine the extent a </w:t>
      </w:r>
      <w:proofErr w:type="spellStart"/>
      <w:r w:rsidRPr="00BC7384">
        <w:rPr>
          <w:rFonts w:ascii="Arial Nova" w:hAnsi="Arial Nova" w:cs="Arial"/>
        </w:rPr>
        <w:t>programme</w:t>
      </w:r>
      <w:proofErr w:type="spellEnd"/>
      <w:r w:rsidRPr="00BC7384">
        <w:rPr>
          <w:rFonts w:ascii="Arial Nova" w:hAnsi="Arial Nova" w:cs="Arial"/>
        </w:rPr>
        <w:t xml:space="preserve"> or a policy has achieved its objectives. The Treasury Circular No. 9, 2004 was released to substitute the Treasury Circular No. 2, 1979 as part of NPM initiative (</w:t>
      </w:r>
      <w:proofErr w:type="spellStart"/>
      <w:r w:rsidRPr="00BC7384">
        <w:rPr>
          <w:rFonts w:ascii="Arial Nova" w:hAnsi="Arial Nova" w:cs="Arial"/>
        </w:rPr>
        <w:t>Ketua</w:t>
      </w:r>
      <w:proofErr w:type="spellEnd"/>
      <w:r w:rsidRPr="00BC7384">
        <w:rPr>
          <w:rFonts w:ascii="Arial Nova" w:hAnsi="Arial Nova" w:cs="Arial"/>
        </w:rPr>
        <w:t xml:space="preserve"> </w:t>
      </w:r>
      <w:proofErr w:type="spellStart"/>
      <w:r w:rsidRPr="00BC7384">
        <w:rPr>
          <w:rFonts w:ascii="Arial Nova" w:hAnsi="Arial Nova" w:cs="Arial"/>
        </w:rPr>
        <w:t>Setiausaha</w:t>
      </w:r>
      <w:proofErr w:type="spellEnd"/>
      <w:r w:rsidRPr="00BC7384">
        <w:rPr>
          <w:rFonts w:ascii="Arial Nova" w:hAnsi="Arial Nova" w:cs="Arial"/>
        </w:rPr>
        <w:t xml:space="preserve"> </w:t>
      </w:r>
      <w:proofErr w:type="spellStart"/>
      <w:r w:rsidRPr="00BC7384">
        <w:rPr>
          <w:rFonts w:ascii="Arial Nova" w:hAnsi="Arial Nova" w:cs="Arial"/>
        </w:rPr>
        <w:t>Perbendaharaan</w:t>
      </w:r>
      <w:proofErr w:type="spellEnd"/>
      <w:r w:rsidRPr="00BC7384">
        <w:rPr>
          <w:rFonts w:ascii="Arial Nova" w:hAnsi="Arial Nova" w:cs="Arial"/>
        </w:rPr>
        <w:t xml:space="preserve">, 2004). This new circular extended the requirement for the formation of internal audit unit or division to all ministries, inclusive of the state and local state governments. This circular included local governments, economic development units, and state agencies such as state companies. The circular extended the roles of internal auditors to embed performance auditing in </w:t>
      </w:r>
      <w:proofErr w:type="spellStart"/>
      <w:r w:rsidRPr="00BC7384">
        <w:rPr>
          <w:rFonts w:ascii="Arial Nova" w:hAnsi="Arial Nova" w:cs="Arial"/>
        </w:rPr>
        <w:t>organisations</w:t>
      </w:r>
      <w:proofErr w:type="spellEnd"/>
      <w:r w:rsidRPr="00BC7384">
        <w:rPr>
          <w:rFonts w:ascii="Arial Nova" w:hAnsi="Arial Nova" w:cs="Arial"/>
        </w:rPr>
        <w:t xml:space="preserve"> alongside IT system auditing. In 2005, the Malaysian government introduced the Ninth Malaysian Plan, which among otherwise, addressed sustainability. It stipulated that each governmental department must resolve sustainability issues that lurked within the public administration (Buang, 2007). As a result of this official announcement, NAD had refined its auditing process to incorporate environmental performance aspects. The NAD collaborated with the International </w:t>
      </w:r>
      <w:proofErr w:type="spellStart"/>
      <w:r w:rsidRPr="00BC7384">
        <w:rPr>
          <w:rFonts w:ascii="Arial Nova" w:hAnsi="Arial Nova" w:cs="Arial"/>
        </w:rPr>
        <w:t>Organisation</w:t>
      </w:r>
      <w:proofErr w:type="spellEnd"/>
      <w:r w:rsidRPr="00BC7384">
        <w:rPr>
          <w:rFonts w:ascii="Arial Nova" w:hAnsi="Arial Nova" w:cs="Arial"/>
        </w:rPr>
        <w:t xml:space="preserve"> of Supreme Audit Institution (INTOSAI) in 2007 to devise guidelines and training </w:t>
      </w:r>
      <w:proofErr w:type="spellStart"/>
      <w:r w:rsidRPr="00BC7384">
        <w:rPr>
          <w:rFonts w:ascii="Arial Nova" w:hAnsi="Arial Nova" w:cs="Arial"/>
        </w:rPr>
        <w:t>programmes</w:t>
      </w:r>
      <w:proofErr w:type="spellEnd"/>
      <w:r w:rsidRPr="00BC7384">
        <w:rPr>
          <w:rFonts w:ascii="Arial Nova" w:hAnsi="Arial Nova" w:cs="Arial"/>
        </w:rPr>
        <w:t xml:space="preserve"> (Buang, 2007). In support of this collaboration, the Ministry of Finance, through the Secretary-General of Treasury, released a circular to extend the internal audit process to embed both performance and compliance audits (</w:t>
      </w:r>
      <w:proofErr w:type="spellStart"/>
      <w:r w:rsidRPr="00BC7384">
        <w:rPr>
          <w:rFonts w:ascii="Arial Nova" w:hAnsi="Arial Nova" w:cs="Arial"/>
        </w:rPr>
        <w:t>Ketua</w:t>
      </w:r>
      <w:proofErr w:type="spellEnd"/>
      <w:r w:rsidRPr="00BC7384">
        <w:rPr>
          <w:rFonts w:ascii="Arial Nova" w:hAnsi="Arial Nova" w:cs="Arial"/>
        </w:rPr>
        <w:t xml:space="preserve"> </w:t>
      </w:r>
      <w:proofErr w:type="spellStart"/>
      <w:r w:rsidRPr="00BC7384">
        <w:rPr>
          <w:rFonts w:ascii="Arial Nova" w:hAnsi="Arial Nova" w:cs="Arial"/>
        </w:rPr>
        <w:t>Setiausaha</w:t>
      </w:r>
      <w:proofErr w:type="spellEnd"/>
      <w:r w:rsidRPr="00BC7384">
        <w:rPr>
          <w:rFonts w:ascii="Arial Nova" w:hAnsi="Arial Nova" w:cs="Arial"/>
        </w:rPr>
        <w:t xml:space="preserve"> </w:t>
      </w:r>
      <w:proofErr w:type="spellStart"/>
      <w:r w:rsidRPr="00BC7384">
        <w:rPr>
          <w:rFonts w:ascii="Arial Nova" w:hAnsi="Arial Nova" w:cs="Arial"/>
        </w:rPr>
        <w:t>Perbendaharaan</w:t>
      </w:r>
      <w:proofErr w:type="spellEnd"/>
      <w:r w:rsidRPr="00BC7384">
        <w:rPr>
          <w:rFonts w:ascii="Arial Nova" w:hAnsi="Arial Nova" w:cs="Arial"/>
        </w:rPr>
        <w:t xml:space="preserve">, 2009). </w:t>
      </w:r>
    </w:p>
    <w:p w14:paraId="25BF37D6" w14:textId="1337B31C" w:rsidR="002A6688" w:rsidRPr="00BC7384" w:rsidRDefault="002A6688" w:rsidP="00BC7384">
      <w:pPr>
        <w:spacing w:line="360" w:lineRule="auto"/>
        <w:ind w:firstLine="720"/>
        <w:jc w:val="both"/>
        <w:rPr>
          <w:rFonts w:ascii="Arial Nova" w:hAnsi="Arial Nova" w:cs="Arial"/>
        </w:rPr>
      </w:pPr>
      <w:r w:rsidRPr="00BC7384">
        <w:rPr>
          <w:rFonts w:ascii="Arial Nova" w:hAnsi="Arial Nova" w:cs="Arial"/>
        </w:rPr>
        <w:t xml:space="preserve">Compliance audit denotes the auditing process that ascertains the adherence of </w:t>
      </w:r>
      <w:proofErr w:type="spellStart"/>
      <w:r w:rsidRPr="00BC7384">
        <w:rPr>
          <w:rFonts w:ascii="Arial Nova" w:hAnsi="Arial Nova" w:cs="Arial"/>
        </w:rPr>
        <w:t>organisations</w:t>
      </w:r>
      <w:proofErr w:type="spellEnd"/>
      <w:r w:rsidRPr="00BC7384">
        <w:rPr>
          <w:rFonts w:ascii="Arial Nova" w:hAnsi="Arial Nova" w:cs="Arial"/>
        </w:rPr>
        <w:t xml:space="preserve"> to legal, process, and systems requirements. The Treasury Circular No. 9, 2004 demanded the public </w:t>
      </w:r>
      <w:proofErr w:type="spellStart"/>
      <w:r w:rsidRPr="00BC7384">
        <w:rPr>
          <w:rFonts w:ascii="Arial Nova" w:hAnsi="Arial Nova" w:cs="Arial"/>
        </w:rPr>
        <w:t>organisations</w:t>
      </w:r>
      <w:proofErr w:type="spellEnd"/>
      <w:r w:rsidRPr="00BC7384">
        <w:rPr>
          <w:rFonts w:ascii="Arial Nova" w:hAnsi="Arial Nova" w:cs="Arial"/>
        </w:rPr>
        <w:t xml:space="preserve"> to establish audit committees to oversee auditing practices. The latest circular, Treasury Circular PS 3.1/2013, focuses on the role of internal auditors for financial management and performance audit to ensure that the money invested meets the objectives (</w:t>
      </w:r>
      <w:proofErr w:type="spellStart"/>
      <w:r w:rsidRPr="00BC7384">
        <w:rPr>
          <w:rFonts w:ascii="Arial Nova" w:hAnsi="Arial Nova" w:cs="Arial"/>
        </w:rPr>
        <w:t>Perbendaharaan</w:t>
      </w:r>
      <w:proofErr w:type="spellEnd"/>
      <w:r w:rsidRPr="00BC7384">
        <w:rPr>
          <w:rFonts w:ascii="Arial Nova" w:hAnsi="Arial Nova" w:cs="Arial"/>
        </w:rPr>
        <w:t xml:space="preserve"> Malaysia, 2013). The circular has redefined the relationship between NAD and internal audit department in each federal and state </w:t>
      </w:r>
      <w:proofErr w:type="spellStart"/>
      <w:r w:rsidRPr="00BC7384">
        <w:rPr>
          <w:rFonts w:ascii="Arial Nova" w:hAnsi="Arial Nova" w:cs="Arial"/>
        </w:rPr>
        <w:t>organisation</w:t>
      </w:r>
      <w:proofErr w:type="spellEnd"/>
      <w:r w:rsidRPr="00BC7384">
        <w:rPr>
          <w:rFonts w:ascii="Arial Nova" w:hAnsi="Arial Nova" w:cs="Arial"/>
        </w:rPr>
        <w:t xml:space="preserve">. Earlier, NAD had functioned as the internal auditor to all government bodies and later changed to the external auditor as a result of the issuance of the current circulars. This is applicable for all government bodies, while the internal audit unit or department acts as internal auditors to oversee the internal control of the </w:t>
      </w:r>
      <w:proofErr w:type="spellStart"/>
      <w:r w:rsidRPr="00BC7384">
        <w:rPr>
          <w:rFonts w:ascii="Arial Nova" w:hAnsi="Arial Nova" w:cs="Arial"/>
        </w:rPr>
        <w:lastRenderedPageBreak/>
        <w:t>organisation</w:t>
      </w:r>
      <w:proofErr w:type="spellEnd"/>
      <w:r w:rsidRPr="00BC7384">
        <w:rPr>
          <w:rFonts w:ascii="Arial Nova" w:hAnsi="Arial Nova" w:cs="Arial"/>
        </w:rPr>
        <w:t xml:space="preserve">. As part of the NPM reforms, the public sector </w:t>
      </w:r>
      <w:proofErr w:type="spellStart"/>
      <w:r w:rsidRPr="00BC7384">
        <w:rPr>
          <w:rFonts w:ascii="Arial Nova" w:hAnsi="Arial Nova" w:cs="Arial"/>
        </w:rPr>
        <w:t>organisations</w:t>
      </w:r>
      <w:proofErr w:type="spellEnd"/>
      <w:r w:rsidRPr="00BC7384">
        <w:rPr>
          <w:rFonts w:ascii="Arial Nova" w:hAnsi="Arial Nova" w:cs="Arial"/>
        </w:rPr>
        <w:t xml:space="preserve"> in Malaysia have adopted standards imposed by various certification bodies (</w:t>
      </w:r>
      <w:proofErr w:type="spellStart"/>
      <w:r w:rsidRPr="00BC7384">
        <w:rPr>
          <w:rFonts w:ascii="Arial Nova" w:hAnsi="Arial Nova" w:cs="Arial"/>
        </w:rPr>
        <w:t>Jidwin</w:t>
      </w:r>
      <w:proofErr w:type="spellEnd"/>
      <w:r w:rsidRPr="00BC7384">
        <w:rPr>
          <w:rFonts w:ascii="Arial Nova" w:hAnsi="Arial Nova" w:cs="Arial"/>
        </w:rPr>
        <w:t xml:space="preserve"> &amp; Mail, 2015). The primary purpose of certification is to enhance public service delivery. Over this period, environmental issues have turned into a global concern, thus requiring auditors to undertake environmental audit. The NAD had documented the first policy by amalgamating training and activities in its strategic plan 2016-2020 to audit environmental </w:t>
      </w:r>
      <w:proofErr w:type="spellStart"/>
      <w:r w:rsidRPr="00BC7384">
        <w:rPr>
          <w:rFonts w:ascii="Arial Nova" w:hAnsi="Arial Nova" w:cs="Arial"/>
        </w:rPr>
        <w:t>programmes</w:t>
      </w:r>
      <w:proofErr w:type="spellEnd"/>
      <w:r w:rsidRPr="00BC7384">
        <w:rPr>
          <w:rFonts w:ascii="Arial Nova" w:hAnsi="Arial Nova" w:cs="Arial"/>
        </w:rPr>
        <w:t>.</w:t>
      </w:r>
    </w:p>
    <w:p w14:paraId="33CDE0BD" w14:textId="77777777" w:rsidR="002A6688" w:rsidRPr="00BC7384" w:rsidRDefault="002A6688" w:rsidP="00BC7384">
      <w:pPr>
        <w:spacing w:line="360" w:lineRule="auto"/>
        <w:jc w:val="both"/>
        <w:rPr>
          <w:rFonts w:ascii="Arial Nova" w:hAnsi="Arial Nova" w:cs="Arial"/>
        </w:rPr>
      </w:pPr>
    </w:p>
    <w:p w14:paraId="7C337DE3" w14:textId="7F7CF6E4" w:rsidR="002A6688" w:rsidRPr="00BC7384" w:rsidRDefault="002A6688" w:rsidP="00BC7384">
      <w:pPr>
        <w:spacing w:line="360" w:lineRule="auto"/>
        <w:jc w:val="both"/>
        <w:rPr>
          <w:rFonts w:ascii="Arial Nova" w:hAnsi="Arial Nova" w:cs="Arial"/>
          <w:b/>
          <w:bCs/>
        </w:rPr>
      </w:pPr>
      <w:r w:rsidRPr="00BC7384">
        <w:rPr>
          <w:rFonts w:ascii="Arial Nova" w:hAnsi="Arial Nova" w:cs="Arial"/>
          <w:b/>
          <w:bCs/>
        </w:rPr>
        <w:t xml:space="preserve">Prior studies on environmental audit practices </w:t>
      </w:r>
    </w:p>
    <w:p w14:paraId="5E715564" w14:textId="77777777" w:rsidR="002A6688" w:rsidRPr="00BC7384" w:rsidRDefault="002A6688" w:rsidP="00BC7384">
      <w:pPr>
        <w:spacing w:line="360" w:lineRule="auto"/>
        <w:jc w:val="both"/>
        <w:rPr>
          <w:rFonts w:ascii="Arial Nova" w:hAnsi="Arial Nova" w:cs="Arial"/>
        </w:rPr>
      </w:pPr>
      <w:r w:rsidRPr="00BC7384">
        <w:rPr>
          <w:rFonts w:ascii="Arial Nova" w:hAnsi="Arial Nova" w:cs="Arial"/>
        </w:rPr>
        <w:t xml:space="preserve">The EAP may be defined based on various perspectives. From the </w:t>
      </w:r>
      <w:proofErr w:type="spellStart"/>
      <w:r w:rsidRPr="00BC7384">
        <w:rPr>
          <w:rFonts w:ascii="Arial Nova" w:hAnsi="Arial Nova" w:cs="Arial"/>
        </w:rPr>
        <w:t>organisation</w:t>
      </w:r>
      <w:proofErr w:type="spellEnd"/>
      <w:r w:rsidRPr="00BC7384">
        <w:rPr>
          <w:rFonts w:ascii="Arial Nova" w:hAnsi="Arial Nova" w:cs="Arial"/>
        </w:rPr>
        <w:t xml:space="preserve"> stance, Maltby (1995, pg.5), based on the definition used by the Internal Chambers of Commerce (ICC), defined EAP as:</w:t>
      </w:r>
    </w:p>
    <w:p w14:paraId="3CE5B4C5" w14:textId="77777777" w:rsidR="002A6688" w:rsidRPr="00BC7384" w:rsidRDefault="002A6688" w:rsidP="00BC7384">
      <w:pPr>
        <w:spacing w:line="360" w:lineRule="auto"/>
        <w:jc w:val="both"/>
        <w:rPr>
          <w:rFonts w:ascii="Arial Nova" w:hAnsi="Arial Nova" w:cs="Arial"/>
        </w:rPr>
      </w:pPr>
    </w:p>
    <w:p w14:paraId="5354C26E" w14:textId="77777777" w:rsidR="002A6688" w:rsidRPr="00BC7384" w:rsidRDefault="002A6688" w:rsidP="00BC7384">
      <w:pPr>
        <w:spacing w:line="360" w:lineRule="auto"/>
        <w:ind w:left="720" w:right="681"/>
        <w:jc w:val="both"/>
        <w:rPr>
          <w:rFonts w:ascii="Arial Nova" w:hAnsi="Arial Nova" w:cs="Arial"/>
        </w:rPr>
      </w:pPr>
      <w:r w:rsidRPr="00BC7384">
        <w:rPr>
          <w:rFonts w:ascii="Arial Nova" w:hAnsi="Arial Nova" w:cs="Arial"/>
        </w:rPr>
        <w:t xml:space="preserve">a management tool comprising a systematic, documented, periodic and objective evaluation of how well environmental </w:t>
      </w:r>
      <w:proofErr w:type="spellStart"/>
      <w:r w:rsidRPr="00BC7384">
        <w:rPr>
          <w:rFonts w:ascii="Arial Nova" w:hAnsi="Arial Nova" w:cs="Arial"/>
        </w:rPr>
        <w:t>organisation</w:t>
      </w:r>
      <w:proofErr w:type="spellEnd"/>
      <w:r w:rsidRPr="00BC7384">
        <w:rPr>
          <w:rFonts w:ascii="Arial Nova" w:hAnsi="Arial Nova" w:cs="Arial"/>
        </w:rPr>
        <w:t>, management, and equipment are performing with the aim of helping to safeguard the environment by (</w:t>
      </w:r>
      <w:proofErr w:type="spellStart"/>
      <w:r w:rsidRPr="00BC7384">
        <w:rPr>
          <w:rFonts w:ascii="Arial Nova" w:hAnsi="Arial Nova" w:cs="Arial"/>
        </w:rPr>
        <w:t>i</w:t>
      </w:r>
      <w:proofErr w:type="spellEnd"/>
      <w:r w:rsidRPr="00BC7384">
        <w:rPr>
          <w:rFonts w:ascii="Arial Nova" w:hAnsi="Arial Nova" w:cs="Arial"/>
        </w:rPr>
        <w:t>) facilitating management control of environmental practices; and (ii) assessing compliance with company policies, which would include meeting regulatory requirements.</w:t>
      </w:r>
    </w:p>
    <w:p w14:paraId="75B3E022" w14:textId="77777777" w:rsidR="002A6688" w:rsidRPr="00BC7384" w:rsidRDefault="002A6688" w:rsidP="00BC7384">
      <w:pPr>
        <w:spacing w:line="360" w:lineRule="auto"/>
        <w:ind w:left="720" w:right="681"/>
        <w:jc w:val="both"/>
        <w:rPr>
          <w:rFonts w:ascii="Arial Nova" w:hAnsi="Arial Nova" w:cs="Arial"/>
        </w:rPr>
      </w:pPr>
    </w:p>
    <w:p w14:paraId="10AA60F4" w14:textId="77777777" w:rsidR="002A6688" w:rsidRPr="00BC7384" w:rsidRDefault="002A6688" w:rsidP="00BC7384">
      <w:pPr>
        <w:spacing w:line="360" w:lineRule="auto"/>
        <w:ind w:firstLine="720"/>
        <w:jc w:val="both"/>
        <w:rPr>
          <w:rFonts w:ascii="Arial Nova" w:hAnsi="Arial Nova" w:cs="Arial"/>
        </w:rPr>
      </w:pPr>
      <w:r w:rsidRPr="00BC7384">
        <w:rPr>
          <w:rFonts w:ascii="Arial Nova" w:hAnsi="Arial Nova" w:cs="Arial"/>
        </w:rPr>
        <w:t xml:space="preserve">Moor and </w:t>
      </w:r>
      <w:proofErr w:type="spellStart"/>
      <w:r w:rsidRPr="00BC7384">
        <w:rPr>
          <w:rFonts w:ascii="Arial Nova" w:hAnsi="Arial Nova" w:cs="Arial"/>
        </w:rPr>
        <w:t>Beelde</w:t>
      </w:r>
      <w:proofErr w:type="spellEnd"/>
      <w:r w:rsidRPr="00BC7384">
        <w:rPr>
          <w:rFonts w:ascii="Arial Nova" w:hAnsi="Arial Nova" w:cs="Arial"/>
        </w:rPr>
        <w:t xml:space="preserve"> (2005) asserted that the above definition </w:t>
      </w:r>
      <w:proofErr w:type="spellStart"/>
      <w:r w:rsidRPr="00BC7384">
        <w:rPr>
          <w:rFonts w:ascii="Arial Nova" w:hAnsi="Arial Nova" w:cs="Arial"/>
        </w:rPr>
        <w:t>emphasised</w:t>
      </w:r>
      <w:proofErr w:type="spellEnd"/>
      <w:r w:rsidRPr="00BC7384">
        <w:rPr>
          <w:rFonts w:ascii="Arial Nova" w:hAnsi="Arial Nova" w:cs="Arial"/>
        </w:rPr>
        <w:t xml:space="preserve"> on the process of environmental management systems and regulatory compliance. This means; environmental auditing embeds environmental compliance auditing process, which is based on how well </w:t>
      </w:r>
      <w:proofErr w:type="spellStart"/>
      <w:r w:rsidRPr="00BC7384">
        <w:rPr>
          <w:rFonts w:ascii="Arial Nova" w:hAnsi="Arial Nova" w:cs="Arial"/>
        </w:rPr>
        <w:t>organisations</w:t>
      </w:r>
      <w:proofErr w:type="spellEnd"/>
      <w:r w:rsidRPr="00BC7384">
        <w:rPr>
          <w:rFonts w:ascii="Arial Nova" w:hAnsi="Arial Nova" w:cs="Arial"/>
        </w:rPr>
        <w:t xml:space="preserve"> adhere to the environmental laws and regulations. Upon being a member of the INTOSAI (NAD, 2017), the Malaysian NAD defined the EAP as the auditing process that ascertains the environmental </w:t>
      </w:r>
      <w:proofErr w:type="spellStart"/>
      <w:r w:rsidRPr="00BC7384">
        <w:rPr>
          <w:rFonts w:ascii="Arial Nova" w:hAnsi="Arial Nova" w:cs="Arial"/>
        </w:rPr>
        <w:t>programmes</w:t>
      </w:r>
      <w:proofErr w:type="spellEnd"/>
      <w:r w:rsidRPr="00BC7384">
        <w:rPr>
          <w:rFonts w:ascii="Arial Nova" w:hAnsi="Arial Nova" w:cs="Arial"/>
        </w:rPr>
        <w:t xml:space="preserve"> comply with rules and regulations, which includes performance and financial aspects (</w:t>
      </w:r>
      <w:proofErr w:type="spellStart"/>
      <w:r w:rsidRPr="00BC7384">
        <w:rPr>
          <w:rFonts w:ascii="Arial Nova" w:hAnsi="Arial Nova" w:cs="Arial"/>
        </w:rPr>
        <w:t>Perbendaharaan</w:t>
      </w:r>
      <w:proofErr w:type="spellEnd"/>
      <w:r w:rsidRPr="00BC7384">
        <w:rPr>
          <w:rFonts w:ascii="Arial Nova" w:hAnsi="Arial Nova" w:cs="Arial"/>
        </w:rPr>
        <w:t xml:space="preserve"> Malaysia, 2013). Accordingly, the internal auditors in MLGs perform auditing on the environmental </w:t>
      </w:r>
      <w:proofErr w:type="spellStart"/>
      <w:r w:rsidRPr="00BC7384">
        <w:rPr>
          <w:rFonts w:ascii="Arial Nova" w:hAnsi="Arial Nova" w:cs="Arial"/>
        </w:rPr>
        <w:t>programmes</w:t>
      </w:r>
      <w:proofErr w:type="spellEnd"/>
      <w:r w:rsidRPr="00BC7384">
        <w:rPr>
          <w:rFonts w:ascii="Arial Nova" w:hAnsi="Arial Nova" w:cs="Arial"/>
        </w:rPr>
        <w:t xml:space="preserve"> since the core activity of the MLGs is managing environmental </w:t>
      </w:r>
      <w:proofErr w:type="spellStart"/>
      <w:r w:rsidRPr="00BC7384">
        <w:rPr>
          <w:rFonts w:ascii="Arial Nova" w:hAnsi="Arial Nova" w:cs="Arial"/>
        </w:rPr>
        <w:t>programmes</w:t>
      </w:r>
      <w:proofErr w:type="spellEnd"/>
      <w:r w:rsidRPr="00BC7384">
        <w:rPr>
          <w:rFonts w:ascii="Arial Nova" w:hAnsi="Arial Nova" w:cs="Arial"/>
        </w:rPr>
        <w:t xml:space="preserve"> and activities. In every five years, the NAD </w:t>
      </w:r>
      <w:r w:rsidRPr="00BC7384">
        <w:rPr>
          <w:rFonts w:ascii="Arial Nova" w:hAnsi="Arial Nova" w:cs="Arial"/>
        </w:rPr>
        <w:lastRenderedPageBreak/>
        <w:t xml:space="preserve">performs external audit on the performance of the MLGs, which includes reviewing the management of environmental </w:t>
      </w:r>
      <w:proofErr w:type="spellStart"/>
      <w:r w:rsidRPr="00BC7384">
        <w:rPr>
          <w:rFonts w:ascii="Arial Nova" w:hAnsi="Arial Nova" w:cs="Arial"/>
        </w:rPr>
        <w:t>programmes</w:t>
      </w:r>
      <w:proofErr w:type="spellEnd"/>
      <w:r w:rsidRPr="00BC7384">
        <w:rPr>
          <w:rFonts w:ascii="Arial Nova" w:hAnsi="Arial Nova" w:cs="Arial"/>
        </w:rPr>
        <w:t xml:space="preserve"> (Buang, 2007). The internal audit report serves as guidance for the NAD to perform the auditing process (Lulu, Joseph, &amp; Nichol, 2014). The outcomes from the auditing process are reported in the Audit Report, wherein the findings highlight several issues on monitoring of environmental </w:t>
      </w:r>
      <w:proofErr w:type="spellStart"/>
      <w:r w:rsidRPr="00BC7384">
        <w:rPr>
          <w:rFonts w:ascii="Arial Nova" w:hAnsi="Arial Nova" w:cs="Arial"/>
        </w:rPr>
        <w:t>programmes</w:t>
      </w:r>
      <w:proofErr w:type="spellEnd"/>
      <w:r w:rsidRPr="00BC7384">
        <w:rPr>
          <w:rFonts w:ascii="Arial Nova" w:hAnsi="Arial Nova" w:cs="Arial"/>
        </w:rPr>
        <w:t xml:space="preserve"> in MLGs (Malaysian NAD, 2015). Typically, MLGs that plan to execute efficient management of the environmental </w:t>
      </w:r>
      <w:proofErr w:type="spellStart"/>
      <w:r w:rsidRPr="00BC7384">
        <w:rPr>
          <w:rFonts w:ascii="Arial Nova" w:hAnsi="Arial Nova" w:cs="Arial"/>
        </w:rPr>
        <w:t>programmes</w:t>
      </w:r>
      <w:proofErr w:type="spellEnd"/>
      <w:r w:rsidRPr="00BC7384">
        <w:rPr>
          <w:rFonts w:ascii="Arial Nova" w:hAnsi="Arial Nova" w:cs="Arial"/>
        </w:rPr>
        <w:t xml:space="preserve"> would take extra initiative by applying the ISO 14001 - certification on environmental management systems. It is mandatory for </w:t>
      </w:r>
      <w:proofErr w:type="spellStart"/>
      <w:r w:rsidRPr="00BC7384">
        <w:rPr>
          <w:rFonts w:ascii="Arial Nova" w:hAnsi="Arial Nova" w:cs="Arial"/>
        </w:rPr>
        <w:t>organisations</w:t>
      </w:r>
      <w:proofErr w:type="spellEnd"/>
      <w:r w:rsidRPr="00BC7384">
        <w:rPr>
          <w:rFonts w:ascii="Arial Nova" w:hAnsi="Arial Nova" w:cs="Arial"/>
        </w:rPr>
        <w:t xml:space="preserve"> with ISO 14001 certification to establish and conduct auditing process to verify the efficacy of implementing ISO 14001:2015. </w:t>
      </w:r>
    </w:p>
    <w:p w14:paraId="735639FE" w14:textId="77777777" w:rsidR="002A6688" w:rsidRPr="00BC7384" w:rsidRDefault="002A6688" w:rsidP="00BC7384">
      <w:pPr>
        <w:spacing w:line="360" w:lineRule="auto"/>
        <w:ind w:firstLine="720"/>
        <w:jc w:val="both"/>
        <w:rPr>
          <w:rFonts w:ascii="Arial Nova" w:hAnsi="Arial Nova" w:cs="Arial"/>
        </w:rPr>
      </w:pPr>
      <w:r w:rsidRPr="00BC7384">
        <w:rPr>
          <w:rFonts w:ascii="Arial Nova" w:hAnsi="Arial Nova" w:cs="Arial"/>
        </w:rPr>
        <w:t xml:space="preserve">As of December 2017, 690 Malaysian </w:t>
      </w:r>
      <w:proofErr w:type="spellStart"/>
      <w:r w:rsidRPr="00BC7384">
        <w:rPr>
          <w:rFonts w:ascii="Arial Nova" w:hAnsi="Arial Nova" w:cs="Arial"/>
        </w:rPr>
        <w:t>organisations</w:t>
      </w:r>
      <w:proofErr w:type="spellEnd"/>
      <w:r w:rsidRPr="00BC7384">
        <w:rPr>
          <w:rFonts w:ascii="Arial Nova" w:hAnsi="Arial Nova" w:cs="Arial"/>
        </w:rPr>
        <w:t xml:space="preserve"> received ISO 14001 certification (SIRIM QAS International </w:t>
      </w:r>
      <w:proofErr w:type="spellStart"/>
      <w:r w:rsidRPr="00BC7384">
        <w:rPr>
          <w:rFonts w:ascii="Arial Nova" w:hAnsi="Arial Nova" w:cs="Arial"/>
        </w:rPr>
        <w:t>Sdn</w:t>
      </w:r>
      <w:proofErr w:type="spellEnd"/>
      <w:r w:rsidRPr="00BC7384">
        <w:rPr>
          <w:rFonts w:ascii="Arial Nova" w:hAnsi="Arial Nova" w:cs="Arial"/>
        </w:rPr>
        <w:t xml:space="preserve">. Bhd., 2017). This certification was received mostly by private companies, followed by 162 Malaysian Government Linked Companies (GLC) and 19 public offices, including forestry department, water and drainage department, environmental research institutes, and state departments. Nonetheless, only three MLGs had received ISO 14001 certification from the population of 156 MLGs. The ISO 19011:2011 auditing standard acts as a guide for auditors to prepare the auditing framework for environmental and management standard (ISO, 2011). Due to the escalating number of new management systems, this standard was introduced as an extension from the first edition published in 2002. This standard is applicable for auditors who manage the auditing </w:t>
      </w:r>
      <w:proofErr w:type="spellStart"/>
      <w:r w:rsidRPr="00BC7384">
        <w:rPr>
          <w:rFonts w:ascii="Arial Nova" w:hAnsi="Arial Nova" w:cs="Arial"/>
        </w:rPr>
        <w:t>programme</w:t>
      </w:r>
      <w:proofErr w:type="spellEnd"/>
      <w:r w:rsidRPr="00BC7384">
        <w:rPr>
          <w:rFonts w:ascii="Arial Nova" w:hAnsi="Arial Nova" w:cs="Arial"/>
        </w:rPr>
        <w:t xml:space="preserve"> for ISO 14001: Environmental Management System. Essentially, this standard is considered flexible (ISO, 2011). The practice of managing the audit </w:t>
      </w:r>
      <w:proofErr w:type="spellStart"/>
      <w:r w:rsidRPr="00BC7384">
        <w:rPr>
          <w:rFonts w:ascii="Arial Nova" w:hAnsi="Arial Nova" w:cs="Arial"/>
        </w:rPr>
        <w:t>programme</w:t>
      </w:r>
      <w:proofErr w:type="spellEnd"/>
      <w:r w:rsidRPr="00BC7384">
        <w:rPr>
          <w:rFonts w:ascii="Arial Nova" w:hAnsi="Arial Nova" w:cs="Arial"/>
        </w:rPr>
        <w:t xml:space="preserve"> may differ based on size, nature, and complexity of the </w:t>
      </w:r>
      <w:proofErr w:type="spellStart"/>
      <w:r w:rsidRPr="00BC7384">
        <w:rPr>
          <w:rFonts w:ascii="Arial Nova" w:hAnsi="Arial Nova" w:cs="Arial"/>
        </w:rPr>
        <w:t>organisation</w:t>
      </w:r>
      <w:proofErr w:type="spellEnd"/>
      <w:r w:rsidRPr="00BC7384">
        <w:rPr>
          <w:rFonts w:ascii="Arial Nova" w:hAnsi="Arial Nova" w:cs="Arial"/>
        </w:rPr>
        <w:t xml:space="preserve">. This standard may be applied by a broad range of users, including internal and external auditors. The five stages embedded in the management audit </w:t>
      </w:r>
      <w:proofErr w:type="spellStart"/>
      <w:r w:rsidRPr="00BC7384">
        <w:rPr>
          <w:rFonts w:ascii="Arial Nova" w:hAnsi="Arial Nova" w:cs="Arial"/>
        </w:rPr>
        <w:t>programme</w:t>
      </w:r>
      <w:proofErr w:type="spellEnd"/>
      <w:r w:rsidRPr="00BC7384">
        <w:rPr>
          <w:rFonts w:ascii="Arial Nova" w:hAnsi="Arial Nova" w:cs="Arial"/>
        </w:rPr>
        <w:t xml:space="preserve"> are portrayed in Figure 1:</w:t>
      </w:r>
    </w:p>
    <w:p w14:paraId="4DFBBECE" w14:textId="77777777" w:rsidR="002A6688" w:rsidRPr="00BC7384" w:rsidRDefault="002A6688" w:rsidP="00BC7384">
      <w:pPr>
        <w:spacing w:line="360" w:lineRule="auto"/>
        <w:ind w:firstLine="709"/>
        <w:jc w:val="both"/>
        <w:rPr>
          <w:rFonts w:ascii="Arial Nova" w:hAnsi="Arial Nova" w:cs="Arial"/>
          <w:b/>
        </w:rPr>
      </w:pPr>
    </w:p>
    <w:p w14:paraId="4DD3D6A7" w14:textId="77777777" w:rsidR="002A6688" w:rsidRPr="00BC7384" w:rsidRDefault="002A6688" w:rsidP="00BC7384">
      <w:pPr>
        <w:spacing w:line="360" w:lineRule="auto"/>
        <w:jc w:val="center"/>
        <w:rPr>
          <w:rFonts w:ascii="Arial Nova" w:hAnsi="Arial Nova" w:cs="Arial"/>
          <w:b/>
        </w:rPr>
      </w:pPr>
      <w:r w:rsidRPr="00BC7384">
        <w:rPr>
          <w:rFonts w:ascii="Arial Nova" w:hAnsi="Arial Nova" w:cs="Arial"/>
          <w:b/>
          <w:noProof/>
        </w:rPr>
        <w:lastRenderedPageBreak/>
        <w:drawing>
          <wp:inline distT="0" distB="0" distL="0" distR="0" wp14:anchorId="762CD035" wp14:editId="303C72B2">
            <wp:extent cx="2817962" cy="2676784"/>
            <wp:effectExtent l="0" t="0" r="1905" b="3175"/>
            <wp:docPr id="309" name="Picture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44434" cy="2701930"/>
                    </a:xfrm>
                    <a:prstGeom prst="rect">
                      <a:avLst/>
                    </a:prstGeom>
                    <a:noFill/>
                  </pic:spPr>
                </pic:pic>
              </a:graphicData>
            </a:graphic>
          </wp:inline>
        </w:drawing>
      </w:r>
    </w:p>
    <w:p w14:paraId="52DE9B22" w14:textId="77777777" w:rsidR="002A6688" w:rsidRPr="00BC7384" w:rsidRDefault="002A6688" w:rsidP="00BC7384">
      <w:pPr>
        <w:spacing w:line="360" w:lineRule="auto"/>
        <w:jc w:val="both"/>
        <w:rPr>
          <w:rFonts w:ascii="Arial Nova" w:hAnsi="Arial Nova" w:cs="Arial"/>
          <w:b/>
        </w:rPr>
      </w:pPr>
    </w:p>
    <w:p w14:paraId="40F258B8" w14:textId="77777777" w:rsidR="002A6688" w:rsidRPr="00BC7384" w:rsidRDefault="002A6688" w:rsidP="00BC7384">
      <w:pPr>
        <w:pStyle w:val="Caption"/>
        <w:spacing w:line="360" w:lineRule="auto"/>
        <w:rPr>
          <w:rFonts w:ascii="Arial Nova" w:hAnsi="Arial Nova" w:cs="Arial"/>
        </w:rPr>
      </w:pPr>
      <w:bookmarkStart w:id="0" w:name="_Ref8816181"/>
      <w:r w:rsidRPr="00BC7384">
        <w:rPr>
          <w:rFonts w:ascii="Arial Nova" w:hAnsi="Arial Nova" w:cs="Arial"/>
        </w:rPr>
        <w:t xml:space="preserve">Figure </w:t>
      </w:r>
      <w:bookmarkEnd w:id="0"/>
      <w:r w:rsidRPr="00BC7384">
        <w:rPr>
          <w:rFonts w:ascii="Arial Nova" w:hAnsi="Arial Nova" w:cs="Arial"/>
        </w:rPr>
        <w:t>1.</w:t>
      </w:r>
      <w:r w:rsidRPr="00BC7384">
        <w:rPr>
          <w:rFonts w:ascii="Arial Nova" w:hAnsi="Arial Nova" w:cs="Arial"/>
          <w:i/>
          <w:iCs/>
        </w:rPr>
        <w:t xml:space="preserve"> </w:t>
      </w:r>
      <w:r w:rsidRPr="00BC7384">
        <w:rPr>
          <w:rFonts w:ascii="Arial Nova" w:hAnsi="Arial Nova" w:cs="Arial"/>
          <w:noProof/>
        </w:rPr>
        <w:t>The Flow</w:t>
      </w:r>
      <w:r w:rsidRPr="00BC7384">
        <w:rPr>
          <w:rFonts w:ascii="Arial Nova" w:hAnsi="Arial Nova" w:cs="Arial"/>
        </w:rPr>
        <w:t xml:space="preserve"> of the </w:t>
      </w:r>
      <w:r w:rsidRPr="00BC7384">
        <w:rPr>
          <w:rFonts w:ascii="Arial Nova" w:hAnsi="Arial Nova" w:cs="Arial"/>
          <w:noProof/>
        </w:rPr>
        <w:t>Management</w:t>
      </w:r>
      <w:r w:rsidRPr="00BC7384">
        <w:rPr>
          <w:rFonts w:ascii="Arial Nova" w:hAnsi="Arial Nova" w:cs="Arial"/>
        </w:rPr>
        <w:t xml:space="preserve"> Audit Programme (ISO, 2011, pg. 15)</w:t>
      </w:r>
    </w:p>
    <w:p w14:paraId="2C425DDE" w14:textId="77777777" w:rsidR="002A6688" w:rsidRPr="00BC7384" w:rsidRDefault="002A6688" w:rsidP="00BC7384">
      <w:pPr>
        <w:spacing w:line="360" w:lineRule="auto"/>
        <w:jc w:val="both"/>
        <w:rPr>
          <w:rFonts w:ascii="Arial Nova" w:hAnsi="Arial Nova" w:cs="Arial"/>
          <w:b/>
        </w:rPr>
      </w:pPr>
    </w:p>
    <w:p w14:paraId="0917CB05" w14:textId="77777777" w:rsidR="002A6688" w:rsidRPr="00BC7384" w:rsidRDefault="002A6688" w:rsidP="00BC7384">
      <w:pPr>
        <w:spacing w:line="360" w:lineRule="auto"/>
        <w:ind w:firstLine="720"/>
        <w:jc w:val="both"/>
        <w:rPr>
          <w:rFonts w:ascii="Arial Nova" w:hAnsi="Arial Nova" w:cs="Arial"/>
        </w:rPr>
      </w:pPr>
      <w:r w:rsidRPr="00BC7384">
        <w:rPr>
          <w:rFonts w:ascii="Arial Nova" w:hAnsi="Arial Nova" w:cs="Arial"/>
        </w:rPr>
        <w:t xml:space="preserve">The first stage is known as audit authority. In this stage, the </w:t>
      </w:r>
      <w:proofErr w:type="spellStart"/>
      <w:r w:rsidRPr="00BC7384">
        <w:rPr>
          <w:rFonts w:ascii="Arial Nova" w:hAnsi="Arial Nova" w:cs="Arial"/>
        </w:rPr>
        <w:t>organisation</w:t>
      </w:r>
      <w:proofErr w:type="spellEnd"/>
      <w:r w:rsidRPr="00BC7384">
        <w:rPr>
          <w:rFonts w:ascii="Arial Nova" w:hAnsi="Arial Nova" w:cs="Arial"/>
        </w:rPr>
        <w:t xml:space="preserve"> should determine the purpose of the auditing process, the persons in charge, and the resources in managing the audit </w:t>
      </w:r>
      <w:proofErr w:type="spellStart"/>
      <w:r w:rsidRPr="00BC7384">
        <w:rPr>
          <w:rFonts w:ascii="Arial Nova" w:hAnsi="Arial Nova" w:cs="Arial"/>
        </w:rPr>
        <w:t>programme</w:t>
      </w:r>
      <w:proofErr w:type="spellEnd"/>
      <w:r w:rsidRPr="00BC7384">
        <w:rPr>
          <w:rFonts w:ascii="Arial Nova" w:hAnsi="Arial Nova" w:cs="Arial"/>
        </w:rPr>
        <w:t xml:space="preserve">. The second stage denotes the process of establishing an audit </w:t>
      </w:r>
      <w:proofErr w:type="spellStart"/>
      <w:r w:rsidRPr="00BC7384">
        <w:rPr>
          <w:rFonts w:ascii="Arial Nova" w:hAnsi="Arial Nova" w:cs="Arial"/>
        </w:rPr>
        <w:t>programme</w:t>
      </w:r>
      <w:proofErr w:type="spellEnd"/>
      <w:r w:rsidRPr="00BC7384">
        <w:rPr>
          <w:rFonts w:ascii="Arial Nova" w:hAnsi="Arial Nova" w:cs="Arial"/>
        </w:rPr>
        <w:t xml:space="preserve">. The auditors have to plan the audit </w:t>
      </w:r>
      <w:proofErr w:type="spellStart"/>
      <w:r w:rsidRPr="00BC7384">
        <w:rPr>
          <w:rFonts w:ascii="Arial Nova" w:hAnsi="Arial Nova" w:cs="Arial"/>
        </w:rPr>
        <w:t>programme</w:t>
      </w:r>
      <w:proofErr w:type="spellEnd"/>
      <w:r w:rsidRPr="00BC7384">
        <w:rPr>
          <w:rFonts w:ascii="Arial Nova" w:hAnsi="Arial Nova" w:cs="Arial"/>
        </w:rPr>
        <w:t xml:space="preserve"> by including the process of delegating responsibilities, establishing the extent of the </w:t>
      </w:r>
      <w:proofErr w:type="spellStart"/>
      <w:r w:rsidRPr="00BC7384">
        <w:rPr>
          <w:rFonts w:ascii="Arial Nova" w:hAnsi="Arial Nova" w:cs="Arial"/>
        </w:rPr>
        <w:t>programme</w:t>
      </w:r>
      <w:proofErr w:type="spellEnd"/>
      <w:r w:rsidRPr="00BC7384">
        <w:rPr>
          <w:rFonts w:ascii="Arial Nova" w:hAnsi="Arial Nova" w:cs="Arial"/>
        </w:rPr>
        <w:t xml:space="preserve">, as well as identifying and evaluating the audit </w:t>
      </w:r>
      <w:proofErr w:type="spellStart"/>
      <w:r w:rsidRPr="00BC7384">
        <w:rPr>
          <w:rFonts w:ascii="Arial Nova" w:hAnsi="Arial Nova" w:cs="Arial"/>
        </w:rPr>
        <w:t>programme</w:t>
      </w:r>
      <w:proofErr w:type="spellEnd"/>
      <w:r w:rsidRPr="00BC7384">
        <w:rPr>
          <w:rFonts w:ascii="Arial Nova" w:hAnsi="Arial Nova" w:cs="Arial"/>
        </w:rPr>
        <w:t xml:space="preserve"> risks. The internal auditors also have to establish auditing procedures and auditing </w:t>
      </w:r>
      <w:proofErr w:type="spellStart"/>
      <w:r w:rsidRPr="00BC7384">
        <w:rPr>
          <w:rFonts w:ascii="Arial Nova" w:hAnsi="Arial Nova" w:cs="Arial"/>
        </w:rPr>
        <w:t>programme</w:t>
      </w:r>
      <w:proofErr w:type="spellEnd"/>
      <w:r w:rsidRPr="00BC7384">
        <w:rPr>
          <w:rFonts w:ascii="Arial Nova" w:hAnsi="Arial Nova" w:cs="Arial"/>
        </w:rPr>
        <w:t xml:space="preserve"> resources. The third stage refers to the implementation of the audit </w:t>
      </w:r>
      <w:proofErr w:type="spellStart"/>
      <w:r w:rsidRPr="00BC7384">
        <w:rPr>
          <w:rFonts w:ascii="Arial Nova" w:hAnsi="Arial Nova" w:cs="Arial"/>
        </w:rPr>
        <w:t>programme</w:t>
      </w:r>
      <w:proofErr w:type="spellEnd"/>
      <w:r w:rsidRPr="00BC7384">
        <w:rPr>
          <w:rFonts w:ascii="Arial Nova" w:hAnsi="Arial Nova" w:cs="Arial"/>
        </w:rPr>
        <w:t xml:space="preserve">. Here, the auditors define the objectives, the scope, and the criteria for individual audit. After selecting the auditing methods and teams, the auditors assign responsibilities for individual audit. The implementation process is composed of the process of managing and maintaining the audit </w:t>
      </w:r>
      <w:proofErr w:type="spellStart"/>
      <w:r w:rsidRPr="00BC7384">
        <w:rPr>
          <w:rFonts w:ascii="Arial Nova" w:hAnsi="Arial Nova" w:cs="Arial"/>
        </w:rPr>
        <w:t>programme</w:t>
      </w:r>
      <w:proofErr w:type="spellEnd"/>
      <w:r w:rsidRPr="00BC7384">
        <w:rPr>
          <w:rFonts w:ascii="Arial Nova" w:hAnsi="Arial Nova" w:cs="Arial"/>
        </w:rPr>
        <w:t xml:space="preserve"> outcomes and records. The next stage is the process of monitoring the audit </w:t>
      </w:r>
      <w:proofErr w:type="spellStart"/>
      <w:r w:rsidRPr="00BC7384">
        <w:rPr>
          <w:rFonts w:ascii="Arial Nova" w:hAnsi="Arial Nova" w:cs="Arial"/>
        </w:rPr>
        <w:t>programme</w:t>
      </w:r>
      <w:proofErr w:type="spellEnd"/>
      <w:r w:rsidRPr="00BC7384">
        <w:rPr>
          <w:rFonts w:ascii="Arial Nova" w:hAnsi="Arial Nova" w:cs="Arial"/>
        </w:rPr>
        <w:t xml:space="preserve">. The person(s) assigned with the responsibilities for the individual audit should assess the conformity of the auditing </w:t>
      </w:r>
      <w:proofErr w:type="spellStart"/>
      <w:r w:rsidRPr="00BC7384">
        <w:rPr>
          <w:rFonts w:ascii="Arial Nova" w:hAnsi="Arial Nova" w:cs="Arial"/>
        </w:rPr>
        <w:t>programmes</w:t>
      </w:r>
      <w:proofErr w:type="spellEnd"/>
      <w:r w:rsidRPr="00BC7384">
        <w:rPr>
          <w:rFonts w:ascii="Arial Nova" w:hAnsi="Arial Nova" w:cs="Arial"/>
        </w:rPr>
        <w:t xml:space="preserve">. This incorporates the performance of the auditing team, the ability of the auditing team, and the feedback obtained from the top management or auditees. The final stage refers to the process of reviewing and enhancing the audit </w:t>
      </w:r>
      <w:proofErr w:type="spellStart"/>
      <w:r w:rsidRPr="00BC7384">
        <w:rPr>
          <w:rFonts w:ascii="Arial Nova" w:hAnsi="Arial Nova" w:cs="Arial"/>
        </w:rPr>
        <w:t>programme</w:t>
      </w:r>
      <w:proofErr w:type="spellEnd"/>
      <w:r w:rsidRPr="00BC7384">
        <w:rPr>
          <w:rFonts w:ascii="Arial Nova" w:hAnsi="Arial Nova" w:cs="Arial"/>
        </w:rPr>
        <w:t xml:space="preserve">. </w:t>
      </w:r>
      <w:r w:rsidRPr="00BC7384">
        <w:rPr>
          <w:rFonts w:ascii="Arial Nova" w:hAnsi="Arial Nova" w:cs="Arial"/>
        </w:rPr>
        <w:lastRenderedPageBreak/>
        <w:t xml:space="preserve">Those managing the audit </w:t>
      </w:r>
      <w:proofErr w:type="spellStart"/>
      <w:r w:rsidRPr="00BC7384">
        <w:rPr>
          <w:rFonts w:ascii="Arial Nova" w:hAnsi="Arial Nova" w:cs="Arial"/>
        </w:rPr>
        <w:t>programme</w:t>
      </w:r>
      <w:proofErr w:type="spellEnd"/>
      <w:r w:rsidRPr="00BC7384">
        <w:rPr>
          <w:rFonts w:ascii="Arial Nova" w:hAnsi="Arial Nova" w:cs="Arial"/>
        </w:rPr>
        <w:t xml:space="preserve"> should review the outcomes and the trends derived from the audit </w:t>
      </w:r>
      <w:proofErr w:type="spellStart"/>
      <w:r w:rsidRPr="00BC7384">
        <w:rPr>
          <w:rFonts w:ascii="Arial Nova" w:hAnsi="Arial Nova" w:cs="Arial"/>
        </w:rPr>
        <w:t>programme</w:t>
      </w:r>
      <w:proofErr w:type="spellEnd"/>
      <w:r w:rsidRPr="00BC7384">
        <w:rPr>
          <w:rFonts w:ascii="Arial Nova" w:hAnsi="Arial Nova" w:cs="Arial"/>
        </w:rPr>
        <w:t xml:space="preserve"> monitoring. This stage embeds the process of reviewing the continual professional development of auditors and reporting the findings of the audit </w:t>
      </w:r>
      <w:proofErr w:type="spellStart"/>
      <w:r w:rsidRPr="00BC7384">
        <w:rPr>
          <w:rFonts w:ascii="Arial Nova" w:hAnsi="Arial Nova" w:cs="Arial"/>
        </w:rPr>
        <w:t>programme</w:t>
      </w:r>
      <w:proofErr w:type="spellEnd"/>
      <w:r w:rsidRPr="00BC7384">
        <w:rPr>
          <w:rFonts w:ascii="Arial Nova" w:hAnsi="Arial Nova" w:cs="Arial"/>
        </w:rPr>
        <w:t xml:space="preserve"> to the top management. </w:t>
      </w:r>
    </w:p>
    <w:p w14:paraId="163E6892" w14:textId="5201F503" w:rsidR="002A6688" w:rsidRPr="00BC7384" w:rsidRDefault="002A6688" w:rsidP="00BC7384">
      <w:pPr>
        <w:spacing w:line="360" w:lineRule="auto"/>
        <w:ind w:firstLine="709"/>
        <w:jc w:val="both"/>
        <w:rPr>
          <w:rFonts w:ascii="Arial Nova" w:hAnsi="Arial Nova" w:cs="Arial"/>
        </w:rPr>
      </w:pPr>
      <w:r w:rsidRPr="00BC7384">
        <w:rPr>
          <w:rFonts w:ascii="Arial Nova" w:hAnsi="Arial Nova" w:cs="Arial"/>
        </w:rPr>
        <w:t xml:space="preserve">This framework was employed as the basis for discussing the findings reported in this study. As such, this study had compared EAP deployment between ISO 14001 certified MLGs and non-ISO 14001 certified MLGs. The EAP is defined as the auditing process of environmental performance and compliance. The environmental performance auditing assesses the performance of environmental </w:t>
      </w:r>
      <w:proofErr w:type="spellStart"/>
      <w:r w:rsidRPr="00BC7384">
        <w:rPr>
          <w:rFonts w:ascii="Arial Nova" w:hAnsi="Arial Nova" w:cs="Arial"/>
        </w:rPr>
        <w:t>programmes</w:t>
      </w:r>
      <w:proofErr w:type="spellEnd"/>
      <w:r w:rsidRPr="00BC7384">
        <w:rPr>
          <w:rFonts w:ascii="Arial Nova" w:hAnsi="Arial Nova" w:cs="Arial"/>
        </w:rPr>
        <w:t xml:space="preserve">. Meanwhile, environmental compliance auditing evaluates the adherence of an </w:t>
      </w:r>
      <w:proofErr w:type="spellStart"/>
      <w:r w:rsidRPr="00BC7384">
        <w:rPr>
          <w:rFonts w:ascii="Arial Nova" w:hAnsi="Arial Nova" w:cs="Arial"/>
        </w:rPr>
        <w:t>organisation</w:t>
      </w:r>
      <w:proofErr w:type="spellEnd"/>
      <w:r w:rsidRPr="00BC7384">
        <w:rPr>
          <w:rFonts w:ascii="Arial Nova" w:hAnsi="Arial Nova" w:cs="Arial"/>
        </w:rPr>
        <w:t xml:space="preserve"> to environmental regulations.</w:t>
      </w:r>
    </w:p>
    <w:p w14:paraId="733E5C10" w14:textId="77777777" w:rsidR="002A6688" w:rsidRPr="00BC7384" w:rsidRDefault="002A6688" w:rsidP="00BC7384">
      <w:pPr>
        <w:spacing w:line="360" w:lineRule="auto"/>
        <w:ind w:firstLine="709"/>
        <w:jc w:val="both"/>
        <w:rPr>
          <w:rFonts w:ascii="Arial Nova" w:hAnsi="Arial Nova" w:cs="Arial"/>
        </w:rPr>
      </w:pPr>
      <w:r w:rsidRPr="00BC7384">
        <w:rPr>
          <w:rFonts w:ascii="Arial Nova" w:hAnsi="Arial Nova" w:cs="Arial"/>
        </w:rPr>
        <w:t xml:space="preserve">The EAP in the private sector is governed by two views; professionalization and protest (Power, 1997). The professionalization view explains the role of environmental auditing as monitoring specific criteria (Power, 1997) by associating environmental and financial auditing (Cook, Bommel &amp; Turnhout, 2016). The auditing practices are related to a system of checks and balances to regulate the environmental financial or the costs incurred from environmental activities in an </w:t>
      </w:r>
      <w:proofErr w:type="spellStart"/>
      <w:r w:rsidRPr="00BC7384">
        <w:rPr>
          <w:rFonts w:ascii="Arial Nova" w:hAnsi="Arial Nova" w:cs="Arial"/>
        </w:rPr>
        <w:t>organisation</w:t>
      </w:r>
      <w:proofErr w:type="spellEnd"/>
      <w:r w:rsidRPr="00BC7384">
        <w:rPr>
          <w:rFonts w:ascii="Arial Nova" w:hAnsi="Arial Nova" w:cs="Arial"/>
        </w:rPr>
        <w:t xml:space="preserve">. Next, the protest view looks into the operation of accounting and scientific cultures in environmental auditing (Power, 1997). Its role is beyond checks and balances as it covers environmental compliance, environmental performance, and environmental management system audits. </w:t>
      </w:r>
    </w:p>
    <w:p w14:paraId="3A5EC667" w14:textId="54A82A6C" w:rsidR="002A6688" w:rsidRPr="00BC7384" w:rsidRDefault="002A6688" w:rsidP="00BC7384">
      <w:pPr>
        <w:spacing w:line="360" w:lineRule="auto"/>
        <w:ind w:firstLine="709"/>
        <w:jc w:val="both"/>
        <w:rPr>
          <w:rFonts w:ascii="Arial Nova" w:hAnsi="Arial Nova" w:cs="Arial"/>
        </w:rPr>
      </w:pPr>
      <w:r w:rsidRPr="00BC7384">
        <w:rPr>
          <w:rFonts w:ascii="Arial Nova" w:hAnsi="Arial Nova" w:cs="Arial"/>
        </w:rPr>
        <w:t xml:space="preserve">Most studies on EAP in the private sector have examined the second view, protest. Some papers have described the auditing process of the environmental management system, along with issues related to ISO 14001 certification (Campbell &amp; Byington, 1998; Simon, Bernardo, </w:t>
      </w:r>
      <w:proofErr w:type="spellStart"/>
      <w:r w:rsidRPr="00BC7384">
        <w:rPr>
          <w:rFonts w:ascii="Arial Nova" w:hAnsi="Arial Nova" w:cs="Arial"/>
        </w:rPr>
        <w:t>Karapetrovic</w:t>
      </w:r>
      <w:proofErr w:type="spellEnd"/>
      <w:r w:rsidRPr="00BC7384">
        <w:rPr>
          <w:rFonts w:ascii="Arial Nova" w:hAnsi="Arial Nova" w:cs="Arial"/>
        </w:rPr>
        <w:t xml:space="preserve">, &amp; Casadesus, 2011; </w:t>
      </w:r>
      <w:proofErr w:type="spellStart"/>
      <w:r w:rsidRPr="00BC7384">
        <w:rPr>
          <w:rFonts w:ascii="Arial Nova" w:hAnsi="Arial Nova" w:cs="Arial"/>
        </w:rPr>
        <w:t>Viegas</w:t>
      </w:r>
      <w:proofErr w:type="spellEnd"/>
      <w:r w:rsidRPr="00BC7384">
        <w:rPr>
          <w:rFonts w:ascii="Arial Nova" w:hAnsi="Arial Nova" w:cs="Arial"/>
        </w:rPr>
        <w:t xml:space="preserve">, Bond, Ribeiro, &amp; Selig, 2013), while others have looked into the auditing process of environmental management systems by assessing ISO 14001 certification and non-ISO 14001 related issues (Carter, Ball, Baron, &amp; Elliott, 1995; </w:t>
      </w:r>
      <w:proofErr w:type="spellStart"/>
      <w:r w:rsidRPr="00BC7384">
        <w:rPr>
          <w:rFonts w:ascii="Arial Nova" w:hAnsi="Arial Nova" w:cs="Arial"/>
        </w:rPr>
        <w:t>Viegas</w:t>
      </w:r>
      <w:proofErr w:type="spellEnd"/>
      <w:r w:rsidRPr="00BC7384">
        <w:rPr>
          <w:rFonts w:ascii="Arial Nova" w:hAnsi="Arial Nova" w:cs="Arial"/>
        </w:rPr>
        <w:t xml:space="preserve"> et al., 2013; Watson &amp; Emery, 2004; </w:t>
      </w:r>
      <w:proofErr w:type="spellStart"/>
      <w:r w:rsidRPr="00BC7384">
        <w:rPr>
          <w:rFonts w:ascii="Arial Nova" w:hAnsi="Arial Nova" w:cs="Arial"/>
        </w:rPr>
        <w:t>Zutshi</w:t>
      </w:r>
      <w:proofErr w:type="spellEnd"/>
      <w:r w:rsidRPr="00BC7384">
        <w:rPr>
          <w:rFonts w:ascii="Arial Nova" w:hAnsi="Arial Nova" w:cs="Arial"/>
        </w:rPr>
        <w:t xml:space="preserve"> &amp; </w:t>
      </w:r>
      <w:proofErr w:type="spellStart"/>
      <w:r w:rsidRPr="00BC7384">
        <w:rPr>
          <w:rFonts w:ascii="Arial Nova" w:hAnsi="Arial Nova" w:cs="Arial"/>
        </w:rPr>
        <w:t>Sohal</w:t>
      </w:r>
      <w:proofErr w:type="spellEnd"/>
      <w:r w:rsidRPr="00BC7384">
        <w:rPr>
          <w:rFonts w:ascii="Arial Nova" w:hAnsi="Arial Nova" w:cs="Arial"/>
        </w:rPr>
        <w:t xml:space="preserve">, 2003). ISO 14001 certification is a framework for </w:t>
      </w:r>
      <w:proofErr w:type="spellStart"/>
      <w:r w:rsidRPr="00BC7384">
        <w:rPr>
          <w:rFonts w:ascii="Arial Nova" w:hAnsi="Arial Nova" w:cs="Arial"/>
        </w:rPr>
        <w:t>organisations</w:t>
      </w:r>
      <w:proofErr w:type="spellEnd"/>
      <w:r w:rsidRPr="00BC7384">
        <w:rPr>
          <w:rFonts w:ascii="Arial Nova" w:hAnsi="Arial Nova" w:cs="Arial"/>
        </w:rPr>
        <w:t xml:space="preserve"> to manage environmental management systems (Campbell &amp; Byington, 1998). Environmental auditing is a mandatory requirement for this certification, which </w:t>
      </w:r>
      <w:r w:rsidRPr="00BC7384">
        <w:rPr>
          <w:rFonts w:ascii="Arial Nova" w:hAnsi="Arial Nova" w:cs="Arial"/>
        </w:rPr>
        <w:lastRenderedPageBreak/>
        <w:t xml:space="preserve">advocates the command-and-control approach. The auditing process in ISO 14001 is more economical than the environmental auditing (Watson &amp; Emery, 2004). The former places more focus if the process had met its objective(s). </w:t>
      </w:r>
    </w:p>
    <w:p w14:paraId="60EE292B" w14:textId="77777777" w:rsidR="002A6688" w:rsidRPr="00BC7384" w:rsidRDefault="002A6688" w:rsidP="00BC7384">
      <w:pPr>
        <w:spacing w:line="360" w:lineRule="auto"/>
        <w:ind w:firstLine="709"/>
        <w:jc w:val="both"/>
        <w:rPr>
          <w:rFonts w:ascii="Arial Nova" w:hAnsi="Arial Nova" w:cs="Arial"/>
        </w:rPr>
      </w:pPr>
      <w:r w:rsidRPr="00BC7384">
        <w:rPr>
          <w:rFonts w:ascii="Arial Nova" w:hAnsi="Arial Nova" w:cs="Arial"/>
        </w:rPr>
        <w:t xml:space="preserve">On the contrary, another view sees the auditing process for this certification as a set of advertising tools for the societal stakeholders, whereby the </w:t>
      </w:r>
      <w:proofErr w:type="spellStart"/>
      <w:r w:rsidRPr="00BC7384">
        <w:rPr>
          <w:rFonts w:ascii="Arial Nova" w:hAnsi="Arial Nova" w:cs="Arial"/>
        </w:rPr>
        <w:t>organisation</w:t>
      </w:r>
      <w:proofErr w:type="spellEnd"/>
      <w:r w:rsidRPr="00BC7384">
        <w:rPr>
          <w:rFonts w:ascii="Arial Nova" w:hAnsi="Arial Nova" w:cs="Arial"/>
        </w:rPr>
        <w:t xml:space="preserve"> is involved in managing environmental issues (Byington &amp; Campbell, 1997; Watson &amp; Emery, 2004). Turning to this present study, it upholds the protest view, in which the EAP is defined as the process of managing ISO 14001. ISO 14001 serves as a tool that mitigates environmental issues that arise in an </w:t>
      </w:r>
      <w:proofErr w:type="spellStart"/>
      <w:r w:rsidRPr="00BC7384">
        <w:rPr>
          <w:rFonts w:ascii="Arial Nova" w:hAnsi="Arial Nova" w:cs="Arial"/>
        </w:rPr>
        <w:t>organisation</w:t>
      </w:r>
      <w:proofErr w:type="spellEnd"/>
      <w:r w:rsidRPr="00BC7384">
        <w:rPr>
          <w:rFonts w:ascii="Arial Nova" w:hAnsi="Arial Nova" w:cs="Arial"/>
        </w:rPr>
        <w:t xml:space="preserve">. The EAP can be easily integrated into the existing audit procedures in an </w:t>
      </w:r>
      <w:proofErr w:type="spellStart"/>
      <w:r w:rsidRPr="00BC7384">
        <w:rPr>
          <w:rFonts w:ascii="Arial Nova" w:hAnsi="Arial Nova" w:cs="Arial"/>
        </w:rPr>
        <w:t>organisation</w:t>
      </w:r>
      <w:proofErr w:type="spellEnd"/>
      <w:r w:rsidRPr="00BC7384">
        <w:rPr>
          <w:rFonts w:ascii="Arial Nova" w:hAnsi="Arial Nova" w:cs="Arial"/>
        </w:rPr>
        <w:t xml:space="preserve"> upon adopting the ISO 14001 standard (</w:t>
      </w:r>
      <w:proofErr w:type="spellStart"/>
      <w:r w:rsidRPr="00BC7384">
        <w:rPr>
          <w:rFonts w:ascii="Arial Nova" w:hAnsi="Arial Nova" w:cs="Arial"/>
        </w:rPr>
        <w:t>Boiral</w:t>
      </w:r>
      <w:proofErr w:type="spellEnd"/>
      <w:r w:rsidRPr="00BC7384">
        <w:rPr>
          <w:rFonts w:ascii="Arial Nova" w:hAnsi="Arial Nova" w:cs="Arial"/>
        </w:rPr>
        <w:t xml:space="preserve"> &amp; Gendron, 2011; Simon et al., 2011). This is because; environmental auditing is similar to the conventional auditing in terms of procedures and legal requirements. Nevertheless, the main difference between these two is the certification process. Environmental auditing is a primary process for ISO 14001 certification (Simon et al., 2011), as it is a procedural auditing instead of substantive auditing (Heras-</w:t>
      </w:r>
      <w:proofErr w:type="spellStart"/>
      <w:r w:rsidRPr="00BC7384">
        <w:rPr>
          <w:rFonts w:ascii="Arial Nova" w:hAnsi="Arial Nova" w:cs="Arial"/>
        </w:rPr>
        <w:t>Saizarbitoria</w:t>
      </w:r>
      <w:proofErr w:type="spellEnd"/>
      <w:r w:rsidRPr="00BC7384">
        <w:rPr>
          <w:rFonts w:ascii="Arial Nova" w:hAnsi="Arial Nova" w:cs="Arial"/>
        </w:rPr>
        <w:t xml:space="preserve"> et al., 2013). For instance, the auditors need to place emphasis on documentation to comply with ISO 14001 guidelines rather than looking at the real impact on environmental performance. The shortcoming of this standard is that the ISO guidelines dismiss the actual state of the environment (Heras-</w:t>
      </w:r>
      <w:proofErr w:type="spellStart"/>
      <w:r w:rsidRPr="00BC7384">
        <w:rPr>
          <w:rFonts w:ascii="Arial Nova" w:hAnsi="Arial Nova" w:cs="Arial"/>
        </w:rPr>
        <w:t>Saizarbitoria</w:t>
      </w:r>
      <w:proofErr w:type="spellEnd"/>
      <w:r w:rsidRPr="00BC7384">
        <w:rPr>
          <w:rFonts w:ascii="Arial Nova" w:hAnsi="Arial Nova" w:cs="Arial"/>
        </w:rPr>
        <w:t xml:space="preserve"> et al., 2013). </w:t>
      </w:r>
    </w:p>
    <w:p w14:paraId="2BAE48F7" w14:textId="77777777" w:rsidR="002A6688" w:rsidRPr="00BC7384" w:rsidRDefault="002A6688" w:rsidP="00BC7384">
      <w:pPr>
        <w:spacing w:line="360" w:lineRule="auto"/>
        <w:ind w:firstLine="709"/>
        <w:jc w:val="both"/>
        <w:rPr>
          <w:rFonts w:ascii="Arial Nova" w:hAnsi="Arial Nova" w:cs="Arial"/>
        </w:rPr>
      </w:pPr>
      <w:r w:rsidRPr="00BC7384">
        <w:rPr>
          <w:rFonts w:ascii="Arial Nova" w:hAnsi="Arial Nova" w:cs="Arial"/>
        </w:rPr>
        <w:t xml:space="preserve">While disregarding regulatory standard, most private </w:t>
      </w:r>
      <w:proofErr w:type="spellStart"/>
      <w:r w:rsidRPr="00BC7384">
        <w:rPr>
          <w:rFonts w:ascii="Arial Nova" w:hAnsi="Arial Nova" w:cs="Arial"/>
        </w:rPr>
        <w:t>organisations</w:t>
      </w:r>
      <w:proofErr w:type="spellEnd"/>
      <w:r w:rsidRPr="00BC7384">
        <w:rPr>
          <w:rFonts w:ascii="Arial Nova" w:hAnsi="Arial Nova" w:cs="Arial"/>
        </w:rPr>
        <w:t xml:space="preserve"> view environmental monitoring as an aspect of the EAP (Carter et al., 1995; </w:t>
      </w:r>
      <w:proofErr w:type="spellStart"/>
      <w:r w:rsidRPr="00BC7384">
        <w:rPr>
          <w:rFonts w:ascii="Arial Nova" w:hAnsi="Arial Nova" w:cs="Arial"/>
        </w:rPr>
        <w:t>Viegas</w:t>
      </w:r>
      <w:proofErr w:type="spellEnd"/>
      <w:r w:rsidRPr="00BC7384">
        <w:rPr>
          <w:rFonts w:ascii="Arial Nova" w:hAnsi="Arial Nova" w:cs="Arial"/>
        </w:rPr>
        <w:t xml:space="preserve"> et al., 2013; </w:t>
      </w:r>
      <w:proofErr w:type="spellStart"/>
      <w:r w:rsidRPr="00BC7384">
        <w:rPr>
          <w:rFonts w:ascii="Arial Nova" w:hAnsi="Arial Nova" w:cs="Arial"/>
        </w:rPr>
        <w:t>Zutshi</w:t>
      </w:r>
      <w:proofErr w:type="spellEnd"/>
      <w:r w:rsidRPr="00BC7384">
        <w:rPr>
          <w:rFonts w:ascii="Arial Nova" w:hAnsi="Arial Nova" w:cs="Arial"/>
        </w:rPr>
        <w:t xml:space="preserve"> &amp; </w:t>
      </w:r>
      <w:proofErr w:type="spellStart"/>
      <w:r w:rsidRPr="00BC7384">
        <w:rPr>
          <w:rFonts w:ascii="Arial Nova" w:hAnsi="Arial Nova" w:cs="Arial"/>
        </w:rPr>
        <w:t>Sohal</w:t>
      </w:r>
      <w:proofErr w:type="spellEnd"/>
      <w:r w:rsidRPr="00BC7384">
        <w:rPr>
          <w:rFonts w:ascii="Arial Nova" w:hAnsi="Arial Nova" w:cs="Arial"/>
        </w:rPr>
        <w:t xml:space="preserve">, 2003). The regular monitoring by the </w:t>
      </w:r>
      <w:proofErr w:type="spellStart"/>
      <w:r w:rsidRPr="00BC7384">
        <w:rPr>
          <w:rFonts w:ascii="Arial Nova" w:hAnsi="Arial Nova" w:cs="Arial"/>
        </w:rPr>
        <w:t>organisations</w:t>
      </w:r>
      <w:proofErr w:type="spellEnd"/>
      <w:r w:rsidRPr="00BC7384">
        <w:rPr>
          <w:rFonts w:ascii="Arial Nova" w:hAnsi="Arial Nova" w:cs="Arial"/>
        </w:rPr>
        <w:t xml:space="preserve"> can </w:t>
      </w:r>
      <w:proofErr w:type="spellStart"/>
      <w:r w:rsidRPr="00BC7384">
        <w:rPr>
          <w:rFonts w:ascii="Arial Nova" w:hAnsi="Arial Nova" w:cs="Arial"/>
        </w:rPr>
        <w:t>minimise</w:t>
      </w:r>
      <w:proofErr w:type="spellEnd"/>
      <w:r w:rsidRPr="00BC7384">
        <w:rPr>
          <w:rFonts w:ascii="Arial Nova" w:hAnsi="Arial Nova" w:cs="Arial"/>
        </w:rPr>
        <w:t xml:space="preserve"> the overall audit risk. According to Carter et al., (1995), at the end of the auditing or monitoring procedure, the follow-up reports are published for future considerations. </w:t>
      </w:r>
      <w:proofErr w:type="spellStart"/>
      <w:r w:rsidRPr="00BC7384">
        <w:rPr>
          <w:rFonts w:ascii="Arial Nova" w:hAnsi="Arial Nova" w:cs="Arial"/>
        </w:rPr>
        <w:t>Viegas</w:t>
      </w:r>
      <w:proofErr w:type="spellEnd"/>
      <w:r w:rsidRPr="00BC7384">
        <w:rPr>
          <w:rFonts w:ascii="Arial Nova" w:hAnsi="Arial Nova" w:cs="Arial"/>
        </w:rPr>
        <w:t xml:space="preserve"> et al., (2013) outlined the variances between environmental monitoring practices and EAP. They differ in terms of hierarchy, scope, risk issue, and timeliness. In terms of hierarchy, environmental monitoring practices include a comprehensive procedure that assesses the full business cycle, whereas EAP examines any specific procedure or </w:t>
      </w:r>
      <w:r w:rsidRPr="00BC7384">
        <w:rPr>
          <w:rFonts w:ascii="Arial Nova" w:hAnsi="Arial Nova" w:cs="Arial"/>
        </w:rPr>
        <w:lastRenderedPageBreak/>
        <w:t xml:space="preserve">practice based on the identified objectives. In terms of scope, environmental monitoring is deployed for internal purposes, while EAP is used to provide transparency for users. </w:t>
      </w:r>
    </w:p>
    <w:p w14:paraId="5831E640" w14:textId="77777777" w:rsidR="002A6688" w:rsidRPr="00BC7384" w:rsidRDefault="002A6688" w:rsidP="00BC7384">
      <w:pPr>
        <w:spacing w:line="360" w:lineRule="auto"/>
        <w:ind w:firstLine="709"/>
        <w:jc w:val="both"/>
        <w:rPr>
          <w:rFonts w:ascii="Arial Nova" w:hAnsi="Arial Nova" w:cs="Arial"/>
        </w:rPr>
      </w:pPr>
      <w:r w:rsidRPr="00BC7384">
        <w:rPr>
          <w:rFonts w:ascii="Arial Nova" w:hAnsi="Arial Nova" w:cs="Arial"/>
        </w:rPr>
        <w:t xml:space="preserve">On the risk issue, environmental monitoring is meant to reduce environmental risks that arise due to violation of environmental regulations. The EAP, on the other hand, concentrates on </w:t>
      </w:r>
      <w:proofErr w:type="spellStart"/>
      <w:r w:rsidRPr="00BC7384">
        <w:rPr>
          <w:rFonts w:ascii="Arial Nova" w:hAnsi="Arial Nova" w:cs="Arial"/>
        </w:rPr>
        <w:t>minimising</w:t>
      </w:r>
      <w:proofErr w:type="spellEnd"/>
      <w:r w:rsidRPr="00BC7384">
        <w:rPr>
          <w:rFonts w:ascii="Arial Nova" w:hAnsi="Arial Nova" w:cs="Arial"/>
        </w:rPr>
        <w:t xml:space="preserve"> compliance risks. As for timeliness, environmental monitoring is a short-term process where data are gathered during the internal process in the </w:t>
      </w:r>
      <w:proofErr w:type="spellStart"/>
      <w:r w:rsidRPr="00BC7384">
        <w:rPr>
          <w:rFonts w:ascii="Arial Nova" w:hAnsi="Arial Nova" w:cs="Arial"/>
        </w:rPr>
        <w:t>organisation</w:t>
      </w:r>
      <w:proofErr w:type="spellEnd"/>
      <w:r w:rsidRPr="00BC7384">
        <w:rPr>
          <w:rFonts w:ascii="Arial Nova" w:hAnsi="Arial Nova" w:cs="Arial"/>
        </w:rPr>
        <w:t>. Meanwhile, the EAP is a long-term process where the data are not only derived from internal documents, but also from third parties including suppliers, regulators, and investors.</w:t>
      </w:r>
    </w:p>
    <w:p w14:paraId="5746EFDB" w14:textId="7D87EC7D" w:rsidR="001F02C3" w:rsidRPr="00BC7384" w:rsidRDefault="002A6688" w:rsidP="00BC7384">
      <w:pPr>
        <w:spacing w:line="360" w:lineRule="auto"/>
        <w:ind w:firstLine="709"/>
        <w:jc w:val="both"/>
        <w:rPr>
          <w:rFonts w:ascii="Arial Nova" w:hAnsi="Arial Nova" w:cs="Arial"/>
          <w:noProof/>
        </w:rPr>
      </w:pPr>
      <w:r w:rsidRPr="00BC7384">
        <w:rPr>
          <w:rFonts w:ascii="Arial Nova" w:hAnsi="Arial Nova" w:cs="Arial"/>
        </w:rPr>
        <w:t xml:space="preserve">The EAP can be easily integrated into the existing audit procedures in an </w:t>
      </w:r>
      <w:proofErr w:type="spellStart"/>
      <w:r w:rsidRPr="00BC7384">
        <w:rPr>
          <w:rFonts w:ascii="Arial Nova" w:hAnsi="Arial Nova" w:cs="Arial"/>
        </w:rPr>
        <w:t>organisation</w:t>
      </w:r>
      <w:proofErr w:type="spellEnd"/>
      <w:r w:rsidRPr="00BC7384">
        <w:rPr>
          <w:rFonts w:ascii="Arial Nova" w:hAnsi="Arial Nova" w:cs="Arial"/>
        </w:rPr>
        <w:t xml:space="preserve"> upon adopting the ISO 14001 standard (</w:t>
      </w:r>
      <w:proofErr w:type="spellStart"/>
      <w:r w:rsidRPr="00BC7384">
        <w:rPr>
          <w:rFonts w:ascii="Arial Nova" w:hAnsi="Arial Nova" w:cs="Arial"/>
        </w:rPr>
        <w:t>Boiral</w:t>
      </w:r>
      <w:proofErr w:type="spellEnd"/>
      <w:r w:rsidRPr="00BC7384">
        <w:rPr>
          <w:rFonts w:ascii="Arial Nova" w:hAnsi="Arial Nova" w:cs="Arial"/>
        </w:rPr>
        <w:t xml:space="preserve"> &amp; Gendron, 2011; Simon et al., 2011). This is because; environmental auditing is similar to the conventional auditing in terms of procedures and legal requirements. Nevertheless, the main difference between these two is the certification process. Environmental auditing is a primary process for ISO 14001 certification (Simon et al., 2011), as it is a procedural auditing instead of substantive auditing (Heras-</w:t>
      </w:r>
      <w:proofErr w:type="spellStart"/>
      <w:r w:rsidRPr="00BC7384">
        <w:rPr>
          <w:rFonts w:ascii="Arial Nova" w:hAnsi="Arial Nova" w:cs="Arial"/>
        </w:rPr>
        <w:t>Saizarbitoria</w:t>
      </w:r>
      <w:proofErr w:type="spellEnd"/>
      <w:r w:rsidRPr="00BC7384">
        <w:rPr>
          <w:rFonts w:ascii="Arial Nova" w:hAnsi="Arial Nova" w:cs="Arial"/>
        </w:rPr>
        <w:t xml:space="preserve"> et al., 2013). For instance, the auditors need to place emphasis on documentation to comply with ISO 14001 guidelines rather than looking at the real impact on environmental performance. The shortcoming of this standard is that the ISO guidelines dismiss the actual state of the environment (Heras-</w:t>
      </w:r>
      <w:proofErr w:type="spellStart"/>
      <w:r w:rsidRPr="00BC7384">
        <w:rPr>
          <w:rFonts w:ascii="Arial Nova" w:hAnsi="Arial Nova" w:cs="Arial"/>
        </w:rPr>
        <w:t>Saizarbitoria</w:t>
      </w:r>
      <w:proofErr w:type="spellEnd"/>
      <w:r w:rsidRPr="00BC7384">
        <w:rPr>
          <w:rFonts w:ascii="Arial Nova" w:hAnsi="Arial Nova" w:cs="Arial"/>
        </w:rPr>
        <w:t xml:space="preserve"> et al., 2013). While disregarding regulatory standard, most private </w:t>
      </w:r>
      <w:proofErr w:type="spellStart"/>
      <w:r w:rsidRPr="00BC7384">
        <w:rPr>
          <w:rFonts w:ascii="Arial Nova" w:hAnsi="Arial Nova" w:cs="Arial"/>
        </w:rPr>
        <w:t>organisations</w:t>
      </w:r>
      <w:proofErr w:type="spellEnd"/>
      <w:r w:rsidRPr="00BC7384">
        <w:rPr>
          <w:rFonts w:ascii="Arial Nova" w:hAnsi="Arial Nova" w:cs="Arial"/>
        </w:rPr>
        <w:t xml:space="preserve"> view environmental monitoring as an aspect of the EAP (Carter et al., 1995; </w:t>
      </w:r>
      <w:proofErr w:type="spellStart"/>
      <w:r w:rsidRPr="00BC7384">
        <w:rPr>
          <w:rFonts w:ascii="Arial Nova" w:hAnsi="Arial Nova" w:cs="Arial"/>
        </w:rPr>
        <w:t>Viegas</w:t>
      </w:r>
      <w:proofErr w:type="spellEnd"/>
      <w:r w:rsidRPr="00BC7384">
        <w:rPr>
          <w:rFonts w:ascii="Arial Nova" w:hAnsi="Arial Nova" w:cs="Arial"/>
        </w:rPr>
        <w:t xml:space="preserve"> et al., 2013; </w:t>
      </w:r>
      <w:proofErr w:type="spellStart"/>
      <w:r w:rsidRPr="00BC7384">
        <w:rPr>
          <w:rFonts w:ascii="Arial Nova" w:hAnsi="Arial Nova" w:cs="Arial"/>
        </w:rPr>
        <w:t>Zutshi</w:t>
      </w:r>
      <w:proofErr w:type="spellEnd"/>
      <w:r w:rsidRPr="00BC7384">
        <w:rPr>
          <w:rFonts w:ascii="Arial Nova" w:hAnsi="Arial Nova" w:cs="Arial"/>
        </w:rPr>
        <w:t xml:space="preserve"> &amp; </w:t>
      </w:r>
      <w:proofErr w:type="spellStart"/>
      <w:r w:rsidRPr="00BC7384">
        <w:rPr>
          <w:rFonts w:ascii="Arial Nova" w:hAnsi="Arial Nova" w:cs="Arial"/>
        </w:rPr>
        <w:t>Sohal</w:t>
      </w:r>
      <w:proofErr w:type="spellEnd"/>
      <w:r w:rsidRPr="00BC7384">
        <w:rPr>
          <w:rFonts w:ascii="Arial Nova" w:hAnsi="Arial Nova" w:cs="Arial"/>
        </w:rPr>
        <w:t xml:space="preserve">, 2003). The regular monitoring by the </w:t>
      </w:r>
      <w:proofErr w:type="spellStart"/>
      <w:r w:rsidRPr="00BC7384">
        <w:rPr>
          <w:rFonts w:ascii="Arial Nova" w:hAnsi="Arial Nova" w:cs="Arial"/>
        </w:rPr>
        <w:t>organisations</w:t>
      </w:r>
      <w:proofErr w:type="spellEnd"/>
      <w:r w:rsidRPr="00BC7384">
        <w:rPr>
          <w:rFonts w:ascii="Arial Nova" w:hAnsi="Arial Nova" w:cs="Arial"/>
        </w:rPr>
        <w:t xml:space="preserve"> can </w:t>
      </w:r>
      <w:proofErr w:type="spellStart"/>
      <w:r w:rsidRPr="00BC7384">
        <w:rPr>
          <w:rFonts w:ascii="Arial Nova" w:hAnsi="Arial Nova" w:cs="Arial"/>
        </w:rPr>
        <w:t>minimise</w:t>
      </w:r>
      <w:proofErr w:type="spellEnd"/>
      <w:r w:rsidRPr="00BC7384">
        <w:rPr>
          <w:rFonts w:ascii="Arial Nova" w:hAnsi="Arial Nova" w:cs="Arial"/>
        </w:rPr>
        <w:t xml:space="preserve"> the overall audit risk. According to Carter et al., (1995), at the end of the auditing or monitoring procedure, the follow-up reports are published for future considerations. </w:t>
      </w:r>
      <w:r w:rsidRPr="00BC7384">
        <w:rPr>
          <w:rFonts w:ascii="Arial Nova" w:hAnsi="Arial Nova" w:cs="Arial"/>
          <w:noProof/>
        </w:rPr>
        <w:t xml:space="preserve">In short, EAP is largely implemented in private scetor as compared to public sector. Thus, it is interesting to further explore differences in EAP among private and public sectors and to further analyse the enablers and  challenges in its implementation. It is believed that lack of EAP implementation in the public sector mainly contributed by lack of consideration on the importance of sutainability. </w:t>
      </w:r>
    </w:p>
    <w:p w14:paraId="6288640E" w14:textId="77777777" w:rsidR="002A6688" w:rsidRPr="00BC7384" w:rsidRDefault="002A6688" w:rsidP="00BC7384">
      <w:pPr>
        <w:spacing w:line="360" w:lineRule="auto"/>
        <w:jc w:val="both"/>
        <w:rPr>
          <w:rFonts w:ascii="Arial Nova" w:hAnsi="Arial Nova" w:cs="Arial"/>
        </w:rPr>
      </w:pPr>
    </w:p>
    <w:p w14:paraId="63B24FE4" w14:textId="576C88BD" w:rsidR="00353DF5" w:rsidRPr="00BC7384" w:rsidRDefault="00353DF5" w:rsidP="00BC7384">
      <w:pPr>
        <w:spacing w:line="360" w:lineRule="auto"/>
        <w:jc w:val="both"/>
        <w:rPr>
          <w:rFonts w:ascii="Arial Nova" w:hAnsi="Arial Nova" w:cs="Arial"/>
          <w:b/>
          <w:bCs/>
        </w:rPr>
      </w:pPr>
      <w:r w:rsidRPr="00BC7384">
        <w:rPr>
          <w:rFonts w:ascii="Arial Nova" w:hAnsi="Arial Nova" w:cs="Arial"/>
          <w:b/>
          <w:bCs/>
        </w:rPr>
        <w:lastRenderedPageBreak/>
        <w:t xml:space="preserve">Methodology </w:t>
      </w:r>
    </w:p>
    <w:p w14:paraId="79C68EE0" w14:textId="40226E46" w:rsidR="001F02C3" w:rsidRPr="00BC7384" w:rsidRDefault="002A6688" w:rsidP="00BC7384">
      <w:pPr>
        <w:spacing w:line="360" w:lineRule="auto"/>
        <w:jc w:val="both"/>
        <w:rPr>
          <w:rFonts w:ascii="Arial Nova" w:hAnsi="Arial Nova" w:cs="Arial"/>
        </w:rPr>
      </w:pPr>
      <w:r w:rsidRPr="00BC7384">
        <w:rPr>
          <w:rFonts w:ascii="Arial Nova" w:hAnsi="Arial Nova" w:cs="Arial"/>
        </w:rPr>
        <w:t>Past studies have not provided details pertaining to the implementation of EAPs in practical reality, particularly within the context of MLGs (</w:t>
      </w:r>
      <w:r w:rsidRPr="00BC7384">
        <w:rPr>
          <w:rFonts w:ascii="Arial Nova" w:hAnsi="Arial Nova" w:cs="Arial"/>
          <w:noProof/>
        </w:rPr>
        <w:t xml:space="preserve">Bae &amp; Seol, 2006; Byington &amp; Campbell, 1997; Campbell &amp; Byington, 1998; Earnhart &amp; Leonard, 2013; Evans et al., 2011). According to Hartley (2004), the qualititative apporach and interpretive case study method is the most suitable technique to gather rich data and to comprehend the process of EAP implementation in a particular context. </w:t>
      </w:r>
      <w:r w:rsidRPr="00BC7384">
        <w:rPr>
          <w:rFonts w:ascii="Arial Nova" w:hAnsi="Arial Nova" w:cs="Arial"/>
        </w:rPr>
        <w:t xml:space="preserve">The case study approach enables the researcher to acquire in-depth understanding regarding EAP deployment. The single unit analysis with multiple-case design was selected for this study </w:t>
      </w:r>
      <w:sdt>
        <w:sdtPr>
          <w:rPr>
            <w:rFonts w:ascii="Arial Nova" w:hAnsi="Arial Nova" w:cs="Arial"/>
          </w:rPr>
          <w:id w:val="19438457"/>
          <w:citation/>
        </w:sdtPr>
        <w:sdtContent>
          <w:r w:rsidRPr="00BC7384">
            <w:rPr>
              <w:rFonts w:ascii="Arial Nova" w:hAnsi="Arial Nova" w:cs="Arial"/>
            </w:rPr>
            <w:fldChar w:fldCharType="begin"/>
          </w:r>
          <w:r w:rsidRPr="00BC7384">
            <w:rPr>
              <w:rFonts w:ascii="Arial Nova" w:hAnsi="Arial Nova" w:cs="Arial"/>
            </w:rPr>
            <w:instrText xml:space="preserve">CITATION Bax08 \m Sca90 \l 17417 </w:instrText>
          </w:r>
          <w:r w:rsidRPr="00BC7384">
            <w:rPr>
              <w:rFonts w:ascii="Arial Nova" w:hAnsi="Arial Nova" w:cs="Arial"/>
            </w:rPr>
            <w:fldChar w:fldCharType="separate"/>
          </w:r>
          <w:r w:rsidRPr="00BC7384">
            <w:rPr>
              <w:rFonts w:ascii="Arial Nova" w:hAnsi="Arial Nova" w:cs="Arial"/>
              <w:noProof/>
            </w:rPr>
            <w:t>(Baxter &amp; Jack, 2008; Scapens, 1990)</w:t>
          </w:r>
          <w:r w:rsidRPr="00BC7384">
            <w:rPr>
              <w:rFonts w:ascii="Arial Nova" w:hAnsi="Arial Nova" w:cs="Arial"/>
            </w:rPr>
            <w:fldChar w:fldCharType="end"/>
          </w:r>
        </w:sdtContent>
      </w:sdt>
      <w:r w:rsidRPr="00BC7384">
        <w:rPr>
          <w:rFonts w:ascii="Arial Nova" w:hAnsi="Arial Nova" w:cs="Arial"/>
        </w:rPr>
        <w:t>. The single unit analysis refers to EAP implementation in respective MLG, while multiple-case design enables the comparison between the two certified and non-certified MLGs. Hence, data will be collected based on the conduct of semi structured interviews, document analysis, and on-site informal observation.</w:t>
      </w:r>
    </w:p>
    <w:p w14:paraId="540E96CE" w14:textId="06EC1489" w:rsidR="00353DF5" w:rsidRPr="00BC7384" w:rsidRDefault="00353DF5" w:rsidP="00BC7384">
      <w:pPr>
        <w:spacing w:line="360" w:lineRule="auto"/>
        <w:jc w:val="both"/>
        <w:rPr>
          <w:rFonts w:ascii="Arial Nova" w:hAnsi="Arial Nova" w:cs="Arial"/>
        </w:rPr>
      </w:pPr>
      <w:r w:rsidRPr="00BC7384">
        <w:rPr>
          <w:rFonts w:ascii="Arial Nova" w:hAnsi="Arial Nova" w:cs="Arial"/>
        </w:rPr>
        <w:t xml:space="preserve"> </w:t>
      </w:r>
    </w:p>
    <w:p w14:paraId="3E5A5C6A" w14:textId="6ACC6C7D" w:rsidR="001F02C3" w:rsidRPr="00BC7384" w:rsidRDefault="002A6688" w:rsidP="00BC7384">
      <w:pPr>
        <w:spacing w:line="360" w:lineRule="auto"/>
        <w:jc w:val="both"/>
        <w:rPr>
          <w:rFonts w:ascii="Arial Nova" w:hAnsi="Arial Nova" w:cs="Arial"/>
          <w:b/>
          <w:bCs/>
        </w:rPr>
      </w:pPr>
      <w:r w:rsidRPr="00BC7384">
        <w:rPr>
          <w:rFonts w:ascii="Arial Nova" w:hAnsi="Arial Nova" w:cs="Arial"/>
          <w:b/>
          <w:bCs/>
        </w:rPr>
        <w:t xml:space="preserve">Findings and Discussion </w:t>
      </w:r>
    </w:p>
    <w:p w14:paraId="367A028E" w14:textId="77777777" w:rsidR="00916F22" w:rsidRPr="00BC7384" w:rsidRDefault="00916F22" w:rsidP="00BC7384">
      <w:pPr>
        <w:spacing w:line="360" w:lineRule="auto"/>
        <w:jc w:val="both"/>
        <w:rPr>
          <w:rFonts w:ascii="Arial Nova" w:hAnsi="Arial Nova"/>
        </w:rPr>
      </w:pPr>
      <w:r w:rsidRPr="00BC7384">
        <w:rPr>
          <w:rFonts w:ascii="Arial Nova" w:hAnsi="Arial Nova"/>
        </w:rPr>
        <w:t xml:space="preserve">This study is an interpretative study that examined the Environmental Auditing Practices (EAP) in two Malaysian Local Governments (MLGs). The data were gathered through interview sessions, document analyses and informal observation at the premises. This study also </w:t>
      </w:r>
      <w:proofErr w:type="spellStart"/>
      <w:r w:rsidRPr="00BC7384">
        <w:rPr>
          <w:rFonts w:ascii="Arial Nova" w:hAnsi="Arial Nova"/>
        </w:rPr>
        <w:t>analysed</w:t>
      </w:r>
      <w:proofErr w:type="spellEnd"/>
      <w:r w:rsidRPr="00BC7384">
        <w:rPr>
          <w:rFonts w:ascii="Arial Nova" w:hAnsi="Arial Nova"/>
        </w:rPr>
        <w:t xml:space="preserve"> 252 documents. A single unit analysis with multiple case study design in reporting was employed focusing specifically on how the internal auditors constructed their roles in EAP. </w:t>
      </w:r>
    </w:p>
    <w:p w14:paraId="01C0CF4A" w14:textId="497217B8" w:rsidR="00916F22" w:rsidRPr="00BC7384" w:rsidRDefault="00916F22" w:rsidP="00BC7384">
      <w:pPr>
        <w:spacing w:line="360" w:lineRule="auto"/>
        <w:ind w:firstLine="720"/>
        <w:jc w:val="both"/>
        <w:rPr>
          <w:rFonts w:ascii="Arial Nova" w:hAnsi="Arial Nova" w:cs="Arial"/>
        </w:rPr>
      </w:pPr>
      <w:r w:rsidRPr="00BC7384">
        <w:rPr>
          <w:rFonts w:ascii="Arial Nova" w:hAnsi="Arial Nova"/>
        </w:rPr>
        <w:t xml:space="preserve">The </w:t>
      </w:r>
      <w:r w:rsidR="00BC7384" w:rsidRPr="00BC7384">
        <w:rPr>
          <w:rFonts w:ascii="Arial Nova" w:hAnsi="Arial Nova"/>
        </w:rPr>
        <w:t>findings indicated that t</w:t>
      </w:r>
      <w:r w:rsidRPr="00BC7384">
        <w:rPr>
          <w:rFonts w:ascii="Arial Nova" w:hAnsi="Arial Nova"/>
        </w:rPr>
        <w:t xml:space="preserve">he flow for EAP in both MLGS was similar except in five conditions. The first condition was the initiator. EAP in ALPHA was initiated from the ISO 14001 requirement while BETA was derived from unresolved complaints from the previous year. Due to the requirement from ALPHA, the coverage for audit was extensive, but, for BETA, the coverage was limited. It is the second condition. The next condition is the composition of the audit team. The audit team comprised of various departments in ALPHA but only the Internal Audit Section for BETA. The next condition is audit checklist. Audit checklists were prepared together with the quality officer for ALPHA but for BETA, the audit checklist was prepared based on the previous year. The </w:t>
      </w:r>
      <w:r w:rsidRPr="00BC7384">
        <w:rPr>
          <w:rFonts w:ascii="Arial Nova" w:hAnsi="Arial Nova"/>
        </w:rPr>
        <w:lastRenderedPageBreak/>
        <w:t>last condition is the reporting of audit findings. The reporting of audit findings was submitted to Review Committee (Review Committee) for ALPHA and Audit and Corporate Management Committee (ACMC) for BETA</w:t>
      </w:r>
      <w:r w:rsidRPr="00BC7384">
        <w:rPr>
          <w:rFonts w:ascii="Arial Nova" w:hAnsi="Arial Nova" w:cs="Arial"/>
        </w:rPr>
        <w:t>.</w:t>
      </w:r>
    </w:p>
    <w:p w14:paraId="5CDD0B38" w14:textId="780A8BCF" w:rsidR="00916F22" w:rsidRPr="00BC7384" w:rsidRDefault="00BC7384" w:rsidP="00BC7384">
      <w:pPr>
        <w:spacing w:line="360" w:lineRule="auto"/>
        <w:ind w:firstLine="720"/>
        <w:jc w:val="both"/>
        <w:rPr>
          <w:rFonts w:ascii="Arial Nova" w:hAnsi="Arial Nova" w:cs="Arial"/>
        </w:rPr>
      </w:pPr>
      <w:r w:rsidRPr="00BC7384">
        <w:rPr>
          <w:rFonts w:ascii="Arial Nova" w:hAnsi="Arial Nova"/>
        </w:rPr>
        <w:t xml:space="preserve">Meanwhile in </w:t>
      </w:r>
      <w:r w:rsidR="00916F22" w:rsidRPr="00BC7384">
        <w:rPr>
          <w:rFonts w:ascii="Arial Nova" w:hAnsi="Arial Nova"/>
        </w:rPr>
        <w:t>functional perspective</w:t>
      </w:r>
      <w:r w:rsidRPr="00BC7384">
        <w:rPr>
          <w:rFonts w:ascii="Arial Nova" w:hAnsi="Arial Nova"/>
        </w:rPr>
        <w:t>, it</w:t>
      </w:r>
      <w:r w:rsidR="00916F22" w:rsidRPr="00BC7384">
        <w:rPr>
          <w:rFonts w:ascii="Arial Nova" w:hAnsi="Arial Nova"/>
        </w:rPr>
        <w:t xml:space="preserve"> discusses the roles derived from the characteristics of role senders, characteristics of focal persons and characteristics of the relationship between them. There were five characteristics of the role senders in this study, role authority, the role of set’s latitude and resources, the role of diversifying, member variability and expectation strategist. The ‘</w:t>
      </w:r>
      <w:r w:rsidRPr="00BC7384">
        <w:rPr>
          <w:rFonts w:ascii="Arial Nova" w:hAnsi="Arial Nova"/>
        </w:rPr>
        <w:t>t</w:t>
      </w:r>
      <w:r w:rsidR="00916F22" w:rsidRPr="00BC7384">
        <w:rPr>
          <w:rFonts w:ascii="Arial Nova" w:hAnsi="Arial Nova"/>
        </w:rPr>
        <w:t xml:space="preserve">hose </w:t>
      </w:r>
      <w:r w:rsidRPr="00BC7384">
        <w:rPr>
          <w:rFonts w:ascii="Arial Nova" w:hAnsi="Arial Nova"/>
        </w:rPr>
        <w:t>c</w:t>
      </w:r>
      <w:r w:rsidR="00916F22" w:rsidRPr="00BC7384">
        <w:rPr>
          <w:rFonts w:ascii="Arial Nova" w:hAnsi="Arial Nova"/>
        </w:rPr>
        <w:t xml:space="preserve">harged with </w:t>
      </w:r>
      <w:r w:rsidRPr="00BC7384">
        <w:rPr>
          <w:rFonts w:ascii="Arial Nova" w:hAnsi="Arial Nova"/>
        </w:rPr>
        <w:t>g</w:t>
      </w:r>
      <w:r w:rsidR="00916F22" w:rsidRPr="00BC7384">
        <w:rPr>
          <w:rFonts w:ascii="Arial Nova" w:hAnsi="Arial Nova"/>
        </w:rPr>
        <w:t>overnance (TC</w:t>
      </w:r>
      <w:r w:rsidRPr="00BC7384">
        <w:rPr>
          <w:rFonts w:ascii="Arial Nova" w:hAnsi="Arial Nova"/>
        </w:rPr>
        <w:t>W</w:t>
      </w:r>
      <w:r w:rsidR="00916F22" w:rsidRPr="00BC7384">
        <w:rPr>
          <w:rFonts w:ascii="Arial Nova" w:hAnsi="Arial Nova"/>
        </w:rPr>
        <w:t xml:space="preserve">G)’ played the role of authority in order to deliver their expectations at the planning stage of EAP. In both </w:t>
      </w:r>
      <w:proofErr w:type="spellStart"/>
      <w:r w:rsidR="00916F22" w:rsidRPr="00BC7384">
        <w:rPr>
          <w:rFonts w:ascii="Arial Nova" w:hAnsi="Arial Nova"/>
        </w:rPr>
        <w:t>organisations</w:t>
      </w:r>
      <w:proofErr w:type="spellEnd"/>
      <w:r w:rsidR="00916F22" w:rsidRPr="00BC7384">
        <w:rPr>
          <w:rFonts w:ascii="Arial Nova" w:hAnsi="Arial Nova"/>
        </w:rPr>
        <w:t xml:space="preserve">, role authority was played by the State Government and the Yang </w:t>
      </w:r>
      <w:proofErr w:type="spellStart"/>
      <w:r w:rsidR="00916F22" w:rsidRPr="00BC7384">
        <w:rPr>
          <w:rFonts w:ascii="Arial Nova" w:hAnsi="Arial Nova"/>
        </w:rPr>
        <w:t>Dipertua</w:t>
      </w:r>
      <w:proofErr w:type="spellEnd"/>
      <w:r w:rsidR="00916F22" w:rsidRPr="00BC7384">
        <w:rPr>
          <w:rFonts w:ascii="Arial Nova" w:hAnsi="Arial Nova"/>
        </w:rPr>
        <w:t xml:space="preserve"> (YDP). There was an additional actor which played the role of authority who was the NGO Watchdog group in ALPHA.</w:t>
      </w:r>
    </w:p>
    <w:p w14:paraId="27044C2C" w14:textId="77777777" w:rsidR="00916F22" w:rsidRPr="00BC7384" w:rsidRDefault="00916F22" w:rsidP="00BC7384">
      <w:pPr>
        <w:spacing w:line="360" w:lineRule="auto"/>
        <w:ind w:firstLine="720"/>
        <w:jc w:val="both"/>
        <w:rPr>
          <w:rFonts w:ascii="Arial Nova" w:hAnsi="Arial Nova"/>
        </w:rPr>
      </w:pPr>
      <w:r w:rsidRPr="00BC7384">
        <w:rPr>
          <w:rFonts w:ascii="Arial Nova" w:hAnsi="Arial Nova"/>
        </w:rPr>
        <w:t xml:space="preserve">The YDP in both </w:t>
      </w:r>
      <w:proofErr w:type="spellStart"/>
      <w:r w:rsidRPr="00BC7384">
        <w:rPr>
          <w:rFonts w:ascii="Arial Nova" w:hAnsi="Arial Nova"/>
        </w:rPr>
        <w:t>organisations</w:t>
      </w:r>
      <w:proofErr w:type="spellEnd"/>
      <w:r w:rsidRPr="00BC7384">
        <w:rPr>
          <w:rFonts w:ascii="Arial Nova" w:hAnsi="Arial Nova"/>
        </w:rPr>
        <w:t xml:space="preserve"> played the role of set’s latitude and resources to the Head of Audit Secretariat (HAS) or the Head of Internal Auditors (HIA) by providing resources including budget. Meanwhile, the HAS and HIA played the role of set’s latitude and resources through providing consultations for the internal auditors to facilitate them in performing the EAP. The HAS played the role of diversifying in ALPHA by designing multiple job descriptions for the internal auditors.</w:t>
      </w:r>
    </w:p>
    <w:p w14:paraId="54DA7C34" w14:textId="00AAF2A9" w:rsidR="00916F22" w:rsidRPr="00BC7384" w:rsidRDefault="00916F22" w:rsidP="00BC7384">
      <w:pPr>
        <w:spacing w:line="360" w:lineRule="auto"/>
        <w:ind w:firstLine="720"/>
        <w:jc w:val="both"/>
        <w:rPr>
          <w:rFonts w:ascii="Arial Nova" w:hAnsi="Arial Nova"/>
        </w:rPr>
      </w:pPr>
      <w:r w:rsidRPr="00BC7384">
        <w:rPr>
          <w:rFonts w:ascii="Arial Nova" w:hAnsi="Arial Nova"/>
        </w:rPr>
        <w:t>Member variability existed in ALPHA when the internal auditors were appointed from various backgrounds. The internal auditors were able to share their knowledge in their departments in EAP. The HAS or HIA played the role as of expectation strategist. The HAS or HIA then delivered the expectations to TCG in determining the solutions for any significant findings for EAP.</w:t>
      </w:r>
      <w:r w:rsidR="00BC7384" w:rsidRPr="00BC7384">
        <w:rPr>
          <w:rFonts w:ascii="Arial Nova" w:hAnsi="Arial Nova"/>
        </w:rPr>
        <w:t xml:space="preserve"> </w:t>
      </w:r>
      <w:r w:rsidRPr="00BC7384">
        <w:rPr>
          <w:rFonts w:ascii="Arial Nova" w:hAnsi="Arial Nova"/>
        </w:rPr>
        <w:t xml:space="preserve">There were three characteristics of the focal persons which were risk orientation, achievement motivation and power motivation. The role of risk orientation existed when the HAS or HIA tried to solve complaints in both MLGs and reduce the risk of non-compliance for ISO 14001 in ALPHA. The ACMC and Review Committee provided solutions to solve the problems during the </w:t>
      </w:r>
      <w:proofErr w:type="spellStart"/>
      <w:r w:rsidRPr="00BC7384">
        <w:rPr>
          <w:rFonts w:ascii="Arial Nova" w:hAnsi="Arial Nova"/>
        </w:rPr>
        <w:t>finalisation</w:t>
      </w:r>
      <w:proofErr w:type="spellEnd"/>
      <w:r w:rsidRPr="00BC7384">
        <w:rPr>
          <w:rFonts w:ascii="Arial Nova" w:hAnsi="Arial Nova"/>
        </w:rPr>
        <w:t xml:space="preserve"> stage.</w:t>
      </w:r>
    </w:p>
    <w:p w14:paraId="76F49B1D" w14:textId="790D5BA6" w:rsidR="00916F22" w:rsidRPr="00BC7384" w:rsidRDefault="00916F22" w:rsidP="00BC7384">
      <w:pPr>
        <w:spacing w:line="360" w:lineRule="auto"/>
        <w:ind w:firstLine="720"/>
        <w:jc w:val="both"/>
        <w:rPr>
          <w:rFonts w:ascii="Arial Nova" w:hAnsi="Arial Nova"/>
        </w:rPr>
      </w:pPr>
      <w:r w:rsidRPr="00BC7384">
        <w:rPr>
          <w:rFonts w:ascii="Arial Nova" w:hAnsi="Arial Nova"/>
        </w:rPr>
        <w:t xml:space="preserve">The internal auditors played achievement motivation by following the job descriptions stated by the HAS for ALPHA. Meanwhile, the internal auditors performed the action based on the previous audit reports for BETA.  During the implementation of </w:t>
      </w:r>
      <w:r w:rsidRPr="00BC7384">
        <w:rPr>
          <w:rFonts w:ascii="Arial Nova" w:hAnsi="Arial Nova"/>
        </w:rPr>
        <w:lastRenderedPageBreak/>
        <w:t xml:space="preserve">EA programs, the auditees were able to justify their jobs based on the evidence in both </w:t>
      </w:r>
      <w:proofErr w:type="spellStart"/>
      <w:r w:rsidRPr="00BC7384">
        <w:rPr>
          <w:rFonts w:ascii="Arial Nova" w:hAnsi="Arial Nova"/>
        </w:rPr>
        <w:t>organisations</w:t>
      </w:r>
      <w:proofErr w:type="spellEnd"/>
      <w:r w:rsidRPr="00BC7384">
        <w:rPr>
          <w:rFonts w:ascii="Arial Nova" w:hAnsi="Arial Nova"/>
        </w:rPr>
        <w:t xml:space="preserve">, a reflection of achievement motivation. The HAS or HIA also exercised power motivation by reviewing the works performed by the internal auditor during monitoring and reviewing the audit </w:t>
      </w:r>
      <w:proofErr w:type="spellStart"/>
      <w:r w:rsidRPr="00BC7384">
        <w:rPr>
          <w:rFonts w:ascii="Arial Nova" w:hAnsi="Arial Nova"/>
        </w:rPr>
        <w:t>programme</w:t>
      </w:r>
      <w:proofErr w:type="spellEnd"/>
      <w:r w:rsidRPr="00BC7384">
        <w:rPr>
          <w:rFonts w:ascii="Arial Nova" w:hAnsi="Arial Nova"/>
        </w:rPr>
        <w:t>.</w:t>
      </w:r>
      <w:r w:rsidR="00BC7384" w:rsidRPr="00BC7384">
        <w:rPr>
          <w:rFonts w:ascii="Arial Nova" w:hAnsi="Arial Nova"/>
        </w:rPr>
        <w:t xml:space="preserve"> </w:t>
      </w:r>
      <w:r w:rsidRPr="00BC7384">
        <w:rPr>
          <w:rFonts w:ascii="Arial Nova" w:hAnsi="Arial Nova"/>
        </w:rPr>
        <w:t>There were four characteristics of the relationship between the focal persons and the role senders, namely relative power and influence, interpersonal interaction, task interdependence and interpersonal attractions.  Firstly, relative power and influence were identified in this study due to the mandatory instructions by TCG in both MLGs. Secondly, the previous audit practices helped the interpersonal interaction between the focal persons and the role senders in MLGs.</w:t>
      </w:r>
    </w:p>
    <w:p w14:paraId="20EFA917" w14:textId="32CD8C21" w:rsidR="00916F22" w:rsidRPr="00BC7384" w:rsidRDefault="00916F22" w:rsidP="00BC7384">
      <w:pPr>
        <w:spacing w:line="360" w:lineRule="auto"/>
        <w:ind w:firstLine="720"/>
        <w:jc w:val="both"/>
        <w:rPr>
          <w:rFonts w:ascii="Arial Nova" w:hAnsi="Arial Nova"/>
        </w:rPr>
      </w:pPr>
      <w:r w:rsidRPr="00BC7384">
        <w:rPr>
          <w:rFonts w:ascii="Arial Nova" w:hAnsi="Arial Nova"/>
        </w:rPr>
        <w:t xml:space="preserve">Next, task interdependence was identified through the concept of “friend”. This concept facilitated the relationship between the internal auditors and auditees during the implementation of the audit </w:t>
      </w:r>
      <w:proofErr w:type="spellStart"/>
      <w:r w:rsidRPr="00BC7384">
        <w:rPr>
          <w:rFonts w:ascii="Arial Nova" w:hAnsi="Arial Nova"/>
        </w:rPr>
        <w:t>programme</w:t>
      </w:r>
      <w:proofErr w:type="spellEnd"/>
      <w:r w:rsidRPr="00BC7384">
        <w:rPr>
          <w:rFonts w:ascii="Arial Nova" w:hAnsi="Arial Nova"/>
        </w:rPr>
        <w:t xml:space="preserve">. Meanwhile, the relationship between the internal auditors and the HAS or HIA was strengthened through task interdependence during the process of audit </w:t>
      </w:r>
      <w:proofErr w:type="spellStart"/>
      <w:r w:rsidRPr="00BC7384">
        <w:rPr>
          <w:rFonts w:ascii="Arial Nova" w:hAnsi="Arial Nova"/>
        </w:rPr>
        <w:t>programme</w:t>
      </w:r>
      <w:proofErr w:type="spellEnd"/>
      <w:r w:rsidRPr="00BC7384">
        <w:rPr>
          <w:rFonts w:ascii="Arial Nova" w:hAnsi="Arial Nova"/>
        </w:rPr>
        <w:t xml:space="preserve"> review. Besides that, interpersonal attraction happened in ALPHA when there were continuous communications between the TCG and the Secretariat Audit during the audit </w:t>
      </w:r>
      <w:proofErr w:type="spellStart"/>
      <w:r w:rsidRPr="00BC7384">
        <w:rPr>
          <w:rFonts w:ascii="Arial Nova" w:hAnsi="Arial Nova"/>
        </w:rPr>
        <w:t>programme</w:t>
      </w:r>
      <w:proofErr w:type="spellEnd"/>
      <w:r w:rsidRPr="00BC7384">
        <w:rPr>
          <w:rFonts w:ascii="Arial Nova" w:hAnsi="Arial Nova"/>
        </w:rPr>
        <w:t xml:space="preserve"> review process.</w:t>
      </w:r>
    </w:p>
    <w:p w14:paraId="25368D15" w14:textId="7DE48224" w:rsidR="00916F22" w:rsidRPr="00BC7384" w:rsidRDefault="00BC7384" w:rsidP="00BC7384">
      <w:pPr>
        <w:spacing w:line="360" w:lineRule="auto"/>
        <w:ind w:firstLine="720"/>
        <w:jc w:val="both"/>
        <w:rPr>
          <w:rFonts w:ascii="Arial Nova" w:hAnsi="Arial Nova"/>
        </w:rPr>
      </w:pPr>
      <w:r w:rsidRPr="00BC7384">
        <w:rPr>
          <w:rFonts w:ascii="Arial Nova" w:hAnsi="Arial Nova"/>
        </w:rPr>
        <w:t xml:space="preserve">In relation to interaction in the EAP, the </w:t>
      </w:r>
      <w:r w:rsidR="00916F22" w:rsidRPr="00BC7384">
        <w:rPr>
          <w:rFonts w:ascii="Arial Nova" w:hAnsi="Arial Nova"/>
        </w:rPr>
        <w:t xml:space="preserve">study found that there were seven areas of interaction during EAP implementation, which are Annual Work Plan, Audit Secretariat, Training, Letter of Audit or Memorandum of Audit, Technology, Exit Meetings and Review or ACMC Meetings. Firstly, the Annual Work Plan was the platform where communication between TCG and the HAS or HIA occurred. </w:t>
      </w:r>
      <w:r w:rsidR="00916F22" w:rsidRPr="00BC7384">
        <w:rPr>
          <w:rFonts w:ascii="Arial Nova" w:hAnsi="Arial Nova"/>
          <w:bCs/>
        </w:rPr>
        <w:t xml:space="preserve">Secondly, ALPHA set up an Audit Secretariat </w:t>
      </w:r>
      <w:r w:rsidR="00916F22" w:rsidRPr="00BC7384">
        <w:rPr>
          <w:rFonts w:ascii="Arial Nova" w:hAnsi="Arial Nova"/>
        </w:rPr>
        <w:t>which comprised member with multiple backgrounds and provided a platform for the member to communicate. Next, training</w:t>
      </w:r>
      <w:r w:rsidR="00916F22" w:rsidRPr="00BC7384">
        <w:rPr>
          <w:rFonts w:ascii="Arial Nova" w:hAnsi="Arial Nova"/>
          <w:b/>
          <w:bCs/>
        </w:rPr>
        <w:t xml:space="preserve"> </w:t>
      </w:r>
      <w:r w:rsidR="00916F22" w:rsidRPr="00BC7384">
        <w:rPr>
          <w:rFonts w:ascii="Arial Nova" w:hAnsi="Arial Nova"/>
        </w:rPr>
        <w:t xml:space="preserve">was a tool for the internal auditors to update their knowledge on EAP. After that, Letter of Audit or Memorandum of Audit acted as a notice for the auditees before the internal auditors performed the audit </w:t>
      </w:r>
      <w:proofErr w:type="spellStart"/>
      <w:r w:rsidR="00916F22" w:rsidRPr="00BC7384">
        <w:rPr>
          <w:rFonts w:ascii="Arial Nova" w:hAnsi="Arial Nova"/>
        </w:rPr>
        <w:t>programme</w:t>
      </w:r>
      <w:proofErr w:type="spellEnd"/>
      <w:r w:rsidR="00916F22" w:rsidRPr="00BC7384">
        <w:rPr>
          <w:rFonts w:ascii="Arial Nova" w:hAnsi="Arial Nova"/>
        </w:rPr>
        <w:t xml:space="preserve">. Besides that, technology eased the communication between the internal auditors and auditees during the implementation stage. They were able to reduce their workload in preparing the documentation.  Also, the exit meeting was a process where the internal auditors were able to receive explanations from the auditees during the audit </w:t>
      </w:r>
      <w:proofErr w:type="spellStart"/>
      <w:r w:rsidR="00916F22" w:rsidRPr="00BC7384">
        <w:rPr>
          <w:rFonts w:ascii="Arial Nova" w:hAnsi="Arial Nova"/>
        </w:rPr>
        <w:t>programme</w:t>
      </w:r>
      <w:proofErr w:type="spellEnd"/>
      <w:r w:rsidR="00916F22" w:rsidRPr="00BC7384">
        <w:rPr>
          <w:rFonts w:ascii="Arial Nova" w:hAnsi="Arial Nova"/>
        </w:rPr>
        <w:t xml:space="preserve"> review stage. Finally, the Review or ACMC </w:t>
      </w:r>
      <w:r w:rsidR="00916F22" w:rsidRPr="00BC7384">
        <w:rPr>
          <w:rFonts w:ascii="Arial Nova" w:hAnsi="Arial Nova"/>
        </w:rPr>
        <w:lastRenderedPageBreak/>
        <w:t xml:space="preserve">Meeting acted as a platform to discuss the areas of improvement for EAPs in both MLGs. </w:t>
      </w:r>
    </w:p>
    <w:p w14:paraId="4CB077BF" w14:textId="4E82C872" w:rsidR="002A6688" w:rsidRPr="00BC7384" w:rsidRDefault="002A6688" w:rsidP="00BC7384">
      <w:pPr>
        <w:spacing w:line="360" w:lineRule="auto"/>
        <w:jc w:val="both"/>
        <w:rPr>
          <w:rFonts w:ascii="Arial Nova" w:hAnsi="Arial Nova" w:cs="Arial"/>
        </w:rPr>
      </w:pPr>
    </w:p>
    <w:p w14:paraId="0A50AEC9" w14:textId="3A0EA81D" w:rsidR="00916F22" w:rsidRPr="00BC7384" w:rsidRDefault="00916F22" w:rsidP="00BC7384">
      <w:pPr>
        <w:spacing w:line="360" w:lineRule="auto"/>
        <w:jc w:val="both"/>
        <w:rPr>
          <w:rFonts w:ascii="Arial Nova" w:hAnsi="Arial Nova" w:cs="Arial"/>
          <w:b/>
          <w:bCs/>
        </w:rPr>
      </w:pPr>
      <w:r w:rsidRPr="00BC7384">
        <w:rPr>
          <w:rFonts w:ascii="Arial Nova" w:hAnsi="Arial Nova" w:cs="Arial"/>
          <w:b/>
          <w:bCs/>
        </w:rPr>
        <w:t xml:space="preserve">Conclusion </w:t>
      </w:r>
    </w:p>
    <w:p w14:paraId="3E391C12" w14:textId="3B58F681" w:rsidR="00916F22" w:rsidRPr="00BC7384" w:rsidRDefault="00BC7384" w:rsidP="00BC7384">
      <w:pPr>
        <w:spacing w:line="360" w:lineRule="auto"/>
        <w:jc w:val="both"/>
        <w:rPr>
          <w:rFonts w:ascii="Arial Nova" w:hAnsi="Arial Nova"/>
        </w:rPr>
      </w:pPr>
      <w:r w:rsidRPr="00BC7384">
        <w:rPr>
          <w:rFonts w:ascii="Arial Nova" w:hAnsi="Arial Nova"/>
        </w:rPr>
        <w:t>T</w:t>
      </w:r>
      <w:r w:rsidR="00916F22" w:rsidRPr="00BC7384">
        <w:rPr>
          <w:rFonts w:ascii="Arial Nova" w:hAnsi="Arial Nova"/>
        </w:rPr>
        <w:t xml:space="preserve">his study complements the EAP implementation by explaining the details of the process and the actors involved in this process. Most of the literature discuss the EAP implementation using a dichotomous analysis </w:t>
      </w:r>
      <w:r w:rsidR="00916F22" w:rsidRPr="00BC7384">
        <w:rPr>
          <w:rFonts w:ascii="Arial Nova" w:hAnsi="Arial Nova"/>
          <w:noProof/>
        </w:rPr>
        <w:t>(Bae &amp; Seol, 2006; Byington &amp; Campbell, 1997; Campbell &amp; Byington, 1998; Earnhart &amp; Leonard, 2013; Evans, Liu, &amp; Stafford, 2011)</w:t>
      </w:r>
      <w:r w:rsidR="00916F22" w:rsidRPr="00BC7384">
        <w:rPr>
          <w:rFonts w:ascii="Arial Nova" w:hAnsi="Arial Nova"/>
        </w:rPr>
        <w:t xml:space="preserve">. The dichotomous analysis merely measured whether the </w:t>
      </w:r>
      <w:proofErr w:type="spellStart"/>
      <w:r w:rsidR="00916F22" w:rsidRPr="00BC7384">
        <w:rPr>
          <w:rFonts w:ascii="Arial Nova" w:hAnsi="Arial Nova"/>
        </w:rPr>
        <w:t>organisation</w:t>
      </w:r>
      <w:proofErr w:type="spellEnd"/>
      <w:r w:rsidR="00916F22" w:rsidRPr="00BC7384">
        <w:rPr>
          <w:rFonts w:ascii="Arial Nova" w:hAnsi="Arial Nova"/>
        </w:rPr>
        <w:t xml:space="preserve"> implemented EAP or not, but unable to explain how the internal auditors crafted their roles during EAP implementation. The current study contributed to the existing literature by </w:t>
      </w:r>
      <w:proofErr w:type="spellStart"/>
      <w:r w:rsidR="00916F22" w:rsidRPr="00BC7384">
        <w:rPr>
          <w:rFonts w:ascii="Arial Nova" w:hAnsi="Arial Nova"/>
        </w:rPr>
        <w:t>recognising</w:t>
      </w:r>
      <w:proofErr w:type="spellEnd"/>
      <w:r w:rsidR="00916F22" w:rsidRPr="00BC7384">
        <w:rPr>
          <w:rFonts w:ascii="Arial Nova" w:hAnsi="Arial Nova"/>
        </w:rPr>
        <w:t xml:space="preserve"> the roles of different parties in EAP which is a dynamic role throughout the process. This is important because the dynamic role illustrated how internal auditors could craft their work to achieve the expectations of the TCG.</w:t>
      </w:r>
    </w:p>
    <w:p w14:paraId="2FF6C365" w14:textId="77777777" w:rsidR="00916F22" w:rsidRPr="00BC7384" w:rsidRDefault="00916F22" w:rsidP="00BC7384">
      <w:pPr>
        <w:spacing w:line="360" w:lineRule="auto"/>
        <w:ind w:firstLine="720"/>
        <w:jc w:val="both"/>
        <w:rPr>
          <w:rFonts w:ascii="Arial Nova" w:hAnsi="Arial Nova"/>
        </w:rPr>
      </w:pPr>
      <w:r w:rsidRPr="00BC7384">
        <w:rPr>
          <w:rFonts w:ascii="Arial Nova" w:hAnsi="Arial Nova"/>
        </w:rPr>
        <w:t xml:space="preserve">The findings in this study have highlighted that EAP was implemented due to the requirement from NGO Watchdogs, the non-profit </w:t>
      </w:r>
      <w:proofErr w:type="spellStart"/>
      <w:r w:rsidRPr="00BC7384">
        <w:rPr>
          <w:rFonts w:ascii="Arial Nova" w:hAnsi="Arial Nova"/>
        </w:rPr>
        <w:t>organisation</w:t>
      </w:r>
      <w:proofErr w:type="spellEnd"/>
      <w:r w:rsidRPr="00BC7384">
        <w:rPr>
          <w:rFonts w:ascii="Arial Nova" w:hAnsi="Arial Nova"/>
        </w:rPr>
        <w:t xml:space="preserve">. Most studies indicated that EAP was implemented due to demands from the management </w:t>
      </w:r>
      <w:r w:rsidRPr="00BC7384">
        <w:rPr>
          <w:rFonts w:ascii="Arial Nova" w:hAnsi="Arial Nova"/>
          <w:noProof/>
        </w:rPr>
        <w:t>(Campbell &amp; Byington, 1998; Darus, Zain &amp; Sawani, 2010; Moor &amp; Beelde, 2005; Sinclair-Desgagne &amp; Gabel, 1997; Zutshi &amp; Sohal, 2003)</w:t>
      </w:r>
      <w:r w:rsidRPr="00BC7384">
        <w:rPr>
          <w:rFonts w:ascii="Arial Nova" w:hAnsi="Arial Nova"/>
        </w:rPr>
        <w:t xml:space="preserve">, regulatory bodies </w:t>
      </w:r>
      <w:r w:rsidRPr="00BC7384">
        <w:rPr>
          <w:rFonts w:ascii="Arial Nova" w:hAnsi="Arial Nova"/>
          <w:noProof/>
        </w:rPr>
        <w:t>(Darnall, Seol, &amp; Sarkis, 2009; Moor &amp; Beelde, 2005; Rika, 2009; Watson &amp; Emery, 2004; Yusoff, 2013; Yusoff, Mohamed, &amp; Hadi, 2016; Yusof, Haron, &amp; Ismail, 2016)</w:t>
      </w:r>
      <w:r w:rsidRPr="00BC7384">
        <w:rPr>
          <w:rFonts w:ascii="Arial Nova" w:hAnsi="Arial Nova"/>
        </w:rPr>
        <w:t xml:space="preserve">, accounting bodies </w:t>
      </w:r>
      <w:r w:rsidRPr="00BC7384">
        <w:rPr>
          <w:rFonts w:ascii="Arial Nova" w:hAnsi="Arial Nova"/>
          <w:noProof/>
        </w:rPr>
        <w:t>(Chiang, 2010; Northcott &amp; Chiang, 2012; Rika, 2009)</w:t>
      </w:r>
      <w:r w:rsidRPr="00BC7384">
        <w:rPr>
          <w:rFonts w:ascii="Arial Nova" w:hAnsi="Arial Nova"/>
        </w:rPr>
        <w:t xml:space="preserve">, certification bodies </w:t>
      </w:r>
      <w:r w:rsidRPr="00BC7384">
        <w:rPr>
          <w:rFonts w:ascii="Arial Nova" w:hAnsi="Arial Nova"/>
          <w:noProof/>
        </w:rPr>
        <w:t>(Campbell &amp; Byington, 1998; Darus, Zain, &amp; Sawani, 2010;Dittenhofer, 1995)</w:t>
      </w:r>
      <w:r w:rsidRPr="00BC7384">
        <w:rPr>
          <w:rFonts w:ascii="Arial Nova" w:hAnsi="Arial Nova"/>
        </w:rPr>
        <w:t xml:space="preserve"> and suppliers </w:t>
      </w:r>
      <w:r w:rsidRPr="00BC7384">
        <w:rPr>
          <w:rFonts w:ascii="Arial Nova" w:hAnsi="Arial Nova"/>
          <w:noProof/>
        </w:rPr>
        <w:t>(Darnall, Seol, &amp; Sarkis, 2009; Stanwick &amp; Stanwick, May/Jun 2001; Zutshi &amp; Sohal, 2003)</w:t>
      </w:r>
      <w:r w:rsidRPr="00BC7384">
        <w:rPr>
          <w:rFonts w:ascii="Arial Nova" w:hAnsi="Arial Nova"/>
        </w:rPr>
        <w:t>. Prior studies did not explain the involvement of the watchdog group in EAP. The findings of this study contribute by acknowledging the involvement of the watchdog group in EAP as part of the initiator for EAP. However, there was no power to dictate any judgement on ALPHA. The finding is only applicable to ALPHA.</w:t>
      </w:r>
    </w:p>
    <w:p w14:paraId="7BA0B2C4" w14:textId="77777777" w:rsidR="00916F22" w:rsidRPr="00BC7384" w:rsidRDefault="00916F22" w:rsidP="00BC7384">
      <w:pPr>
        <w:spacing w:line="360" w:lineRule="auto"/>
        <w:ind w:firstLine="720"/>
        <w:jc w:val="both"/>
        <w:rPr>
          <w:rFonts w:ascii="Arial Nova" w:hAnsi="Arial Nova"/>
        </w:rPr>
      </w:pPr>
      <w:r w:rsidRPr="00BC7384">
        <w:rPr>
          <w:rFonts w:ascii="Arial Nova" w:hAnsi="Arial Nova"/>
        </w:rPr>
        <w:t xml:space="preserve">This study has revealed the flow of EAP implementation in two MLGs. Other local governments may refer to this study to set up EAP in their </w:t>
      </w:r>
      <w:proofErr w:type="spellStart"/>
      <w:r w:rsidRPr="00BC7384">
        <w:rPr>
          <w:rFonts w:ascii="Arial Nova" w:hAnsi="Arial Nova"/>
        </w:rPr>
        <w:t>organisations</w:t>
      </w:r>
      <w:proofErr w:type="spellEnd"/>
      <w:r w:rsidRPr="00BC7384">
        <w:rPr>
          <w:rFonts w:ascii="Arial Nova" w:hAnsi="Arial Nova"/>
        </w:rPr>
        <w:t xml:space="preserve">. Practitioners </w:t>
      </w:r>
      <w:r w:rsidRPr="00BC7384">
        <w:rPr>
          <w:rFonts w:ascii="Arial Nova" w:hAnsi="Arial Nova"/>
        </w:rPr>
        <w:lastRenderedPageBreak/>
        <w:t xml:space="preserve">may understand the complexities of EAP from these </w:t>
      </w:r>
      <w:r w:rsidRPr="00BC7384">
        <w:rPr>
          <w:rFonts w:ascii="Arial Nova" w:hAnsi="Arial Nova"/>
          <w:noProof/>
        </w:rPr>
        <w:t>organisations</w:t>
      </w:r>
      <w:r w:rsidRPr="00BC7384">
        <w:rPr>
          <w:rFonts w:ascii="Arial Nova" w:hAnsi="Arial Nova"/>
        </w:rPr>
        <w:t xml:space="preserve">. In addition, this study acts as </w:t>
      </w:r>
      <w:r w:rsidRPr="00BC7384">
        <w:rPr>
          <w:rFonts w:ascii="Arial Nova" w:hAnsi="Arial Nova"/>
          <w:noProof/>
        </w:rPr>
        <w:t>a reference</w:t>
      </w:r>
      <w:r w:rsidRPr="00BC7384">
        <w:rPr>
          <w:rFonts w:ascii="Arial Nova" w:hAnsi="Arial Nova"/>
        </w:rPr>
        <w:t xml:space="preserve"> any </w:t>
      </w:r>
      <w:proofErr w:type="spellStart"/>
      <w:r w:rsidRPr="00BC7384">
        <w:rPr>
          <w:rFonts w:ascii="Arial Nova" w:hAnsi="Arial Nova"/>
        </w:rPr>
        <w:t>organisation</w:t>
      </w:r>
      <w:proofErr w:type="spellEnd"/>
      <w:r w:rsidRPr="00BC7384">
        <w:rPr>
          <w:rFonts w:ascii="Arial Nova" w:hAnsi="Arial Nova"/>
        </w:rPr>
        <w:t xml:space="preserve"> to choose which method that may suit them. The findings may act as a framework in developing EAP in other </w:t>
      </w:r>
      <w:proofErr w:type="spellStart"/>
      <w:r w:rsidRPr="00BC7384">
        <w:rPr>
          <w:rFonts w:ascii="Arial Nova" w:hAnsi="Arial Nova"/>
        </w:rPr>
        <w:t>organisations</w:t>
      </w:r>
      <w:proofErr w:type="spellEnd"/>
      <w:r w:rsidRPr="00BC7384">
        <w:rPr>
          <w:rFonts w:ascii="Arial Nova" w:hAnsi="Arial Nova"/>
        </w:rPr>
        <w:t xml:space="preserve">. Different MLGs can adapt and </w:t>
      </w:r>
      <w:proofErr w:type="spellStart"/>
      <w:r w:rsidRPr="00BC7384">
        <w:rPr>
          <w:rFonts w:ascii="Arial Nova" w:hAnsi="Arial Nova"/>
        </w:rPr>
        <w:t>customise</w:t>
      </w:r>
      <w:proofErr w:type="spellEnd"/>
      <w:r w:rsidRPr="00BC7384">
        <w:rPr>
          <w:rFonts w:ascii="Arial Nova" w:hAnsi="Arial Nova"/>
        </w:rPr>
        <w:t xml:space="preserve"> their EAP based on their jurisdictions. Some attributes between these two MLGs can be used in planning their EA process.</w:t>
      </w:r>
    </w:p>
    <w:p w14:paraId="5EF707E8" w14:textId="77777777" w:rsidR="00916F22" w:rsidRPr="00BC7384" w:rsidRDefault="00916F22" w:rsidP="00BC7384">
      <w:pPr>
        <w:spacing w:line="360" w:lineRule="auto"/>
        <w:ind w:firstLine="720"/>
        <w:jc w:val="both"/>
        <w:rPr>
          <w:rFonts w:ascii="Arial Nova" w:hAnsi="Arial Nova"/>
        </w:rPr>
      </w:pPr>
      <w:r w:rsidRPr="00BC7384">
        <w:rPr>
          <w:rFonts w:ascii="Arial Nova" w:hAnsi="Arial Nova"/>
        </w:rPr>
        <w:t xml:space="preserve">Moreover, this study has concluded different enactment instruments in implementing this practice. The managers of other </w:t>
      </w:r>
      <w:proofErr w:type="spellStart"/>
      <w:r w:rsidRPr="00BC7384">
        <w:rPr>
          <w:rFonts w:ascii="Arial Nova" w:hAnsi="Arial Nova"/>
        </w:rPr>
        <w:t>organisations</w:t>
      </w:r>
      <w:proofErr w:type="spellEnd"/>
      <w:r w:rsidRPr="00BC7384">
        <w:rPr>
          <w:rFonts w:ascii="Arial Nova" w:hAnsi="Arial Nova"/>
        </w:rPr>
        <w:t xml:space="preserve"> can use this information to structure the process of </w:t>
      </w:r>
      <w:r w:rsidRPr="00BC7384">
        <w:rPr>
          <w:rFonts w:ascii="Arial Nova" w:hAnsi="Arial Nova"/>
          <w:noProof/>
        </w:rPr>
        <w:t>delivering</w:t>
      </w:r>
      <w:r w:rsidRPr="00BC7384">
        <w:rPr>
          <w:rFonts w:ascii="Arial Nova" w:hAnsi="Arial Nova"/>
        </w:rPr>
        <w:t xml:space="preserve"> the outcome of</w:t>
      </w:r>
      <w:r w:rsidRPr="00BC7384">
        <w:rPr>
          <w:rFonts w:ascii="Arial Nova" w:hAnsi="Arial Nova"/>
          <w:noProof/>
        </w:rPr>
        <w:t xml:space="preserve"> EAP</w:t>
      </w:r>
      <w:r w:rsidRPr="00BC7384">
        <w:rPr>
          <w:rFonts w:ascii="Arial Nova" w:hAnsi="Arial Nova"/>
        </w:rPr>
        <w:t xml:space="preserve"> in their </w:t>
      </w:r>
      <w:proofErr w:type="spellStart"/>
      <w:r w:rsidRPr="00BC7384">
        <w:rPr>
          <w:rFonts w:ascii="Arial Nova" w:hAnsi="Arial Nova"/>
        </w:rPr>
        <w:t>organisations</w:t>
      </w:r>
      <w:proofErr w:type="spellEnd"/>
      <w:r w:rsidRPr="00BC7384">
        <w:rPr>
          <w:rFonts w:ascii="Arial Nova" w:hAnsi="Arial Nova"/>
        </w:rPr>
        <w:t xml:space="preserve">. Besides that, this study helps the internal auditors in clarifying their roles in this practice. The internal auditors can identify appropriate approaches for each stage in order to drive the best outcome of the practice. This study has highlighted how different jurisdictions could </w:t>
      </w:r>
      <w:proofErr w:type="spellStart"/>
      <w:r w:rsidRPr="00BC7384">
        <w:rPr>
          <w:rFonts w:ascii="Arial Nova" w:hAnsi="Arial Nova"/>
        </w:rPr>
        <w:t>customise</w:t>
      </w:r>
      <w:proofErr w:type="spellEnd"/>
      <w:r w:rsidRPr="00BC7384">
        <w:rPr>
          <w:rFonts w:ascii="Arial Nova" w:hAnsi="Arial Nova"/>
        </w:rPr>
        <w:t xml:space="preserve"> EAP. The findings may assist regulators in setting up restrictive regulations by considering certain factors.</w:t>
      </w:r>
    </w:p>
    <w:p w14:paraId="4EBC528C" w14:textId="268E889F" w:rsidR="00353DF5" w:rsidRPr="00916F22" w:rsidRDefault="00916F22" w:rsidP="00BC7384">
      <w:pPr>
        <w:spacing w:line="360" w:lineRule="auto"/>
        <w:ind w:firstLine="720"/>
        <w:jc w:val="both"/>
        <w:rPr>
          <w:rFonts w:ascii="Arial Nova" w:hAnsi="Arial Nova"/>
        </w:rPr>
      </w:pPr>
      <w:r w:rsidRPr="00BC7384">
        <w:rPr>
          <w:rFonts w:ascii="Arial Nova" w:hAnsi="Arial Nova"/>
        </w:rPr>
        <w:t xml:space="preserve">In </w:t>
      </w:r>
      <w:r w:rsidR="00BC7384" w:rsidRPr="00BC7384">
        <w:rPr>
          <w:rFonts w:ascii="Arial Nova" w:hAnsi="Arial Nova"/>
        </w:rPr>
        <w:t xml:space="preserve">term of </w:t>
      </w:r>
      <w:r w:rsidRPr="00BC7384">
        <w:rPr>
          <w:rFonts w:ascii="Arial Nova" w:hAnsi="Arial Nova"/>
        </w:rPr>
        <w:t>limitation of the study, t</w:t>
      </w:r>
      <w:r w:rsidRPr="00BC7384">
        <w:rPr>
          <w:rFonts w:ascii="Arial Nova" w:hAnsi="Arial Nova"/>
        </w:rPr>
        <w:t xml:space="preserve">his study defines the role theory as dynamic where the definition of role keeps changing over time. </w:t>
      </w:r>
      <w:r w:rsidRPr="00BC7384">
        <w:rPr>
          <w:rFonts w:ascii="Arial Nova" w:hAnsi="Arial Nova"/>
        </w:rPr>
        <w:t>However, t</w:t>
      </w:r>
      <w:r w:rsidRPr="00BC7384">
        <w:rPr>
          <w:rFonts w:ascii="Arial Nova" w:hAnsi="Arial Nova"/>
        </w:rPr>
        <w:t xml:space="preserve">he analyses were based on the observations from April 2014 until March 2018, </w:t>
      </w:r>
      <w:r w:rsidRPr="00BC7384">
        <w:rPr>
          <w:rFonts w:ascii="Arial Nova" w:hAnsi="Arial Nova"/>
        </w:rPr>
        <w:t xml:space="preserve">hence, </w:t>
      </w:r>
      <w:r w:rsidRPr="00BC7384">
        <w:rPr>
          <w:rFonts w:ascii="Arial Nova" w:hAnsi="Arial Nova"/>
        </w:rPr>
        <w:t>the findings were therefore limited for that particular time period</w:t>
      </w:r>
      <w:r w:rsidR="00D87D03" w:rsidRPr="00BC7384">
        <w:rPr>
          <w:rFonts w:ascii="Arial Nova" w:hAnsi="Arial Nova"/>
        </w:rPr>
        <w:t xml:space="preserve"> with little changes known </w:t>
      </w:r>
      <w:r w:rsidRPr="00BC7384">
        <w:rPr>
          <w:rFonts w:ascii="Arial Nova" w:hAnsi="Arial Nova"/>
        </w:rPr>
        <w:t>after March 2018.</w:t>
      </w:r>
      <w:r w:rsidR="00D87D03" w:rsidRPr="00BC7384">
        <w:rPr>
          <w:rFonts w:ascii="Arial Nova" w:hAnsi="Arial Nova"/>
        </w:rPr>
        <w:t xml:space="preserve"> Whilst, f</w:t>
      </w:r>
      <w:r w:rsidRPr="00BC7384">
        <w:rPr>
          <w:rFonts w:ascii="Arial Nova" w:hAnsi="Arial Nova"/>
        </w:rPr>
        <w:t xml:space="preserve">uture research may explore how to strengthen the roles of the Audit Committee in EAP of the MLGs. Moreover, future studies may replicate the framework used for other types of organisations such as statutory bodies, cooperatives and government-linked companies. </w:t>
      </w:r>
      <w:r w:rsidR="00D87D03" w:rsidRPr="00BC7384">
        <w:rPr>
          <w:rFonts w:ascii="Arial Nova" w:hAnsi="Arial Nova"/>
        </w:rPr>
        <w:t xml:space="preserve">It </w:t>
      </w:r>
      <w:r w:rsidRPr="00BC7384">
        <w:rPr>
          <w:rFonts w:ascii="Arial Nova" w:hAnsi="Arial Nova"/>
        </w:rPr>
        <w:t xml:space="preserve">also </w:t>
      </w:r>
      <w:r w:rsidR="00D87D03" w:rsidRPr="00BC7384">
        <w:rPr>
          <w:rFonts w:ascii="Arial Nova" w:hAnsi="Arial Nova"/>
        </w:rPr>
        <w:t xml:space="preserve">should </w:t>
      </w:r>
      <w:r w:rsidRPr="00BC7384">
        <w:rPr>
          <w:rFonts w:ascii="Arial Nova" w:hAnsi="Arial Nova"/>
        </w:rPr>
        <w:t>take into account how the community reacts to the implementation of EAP, as well as the impacts before and after EAP is implemented</w:t>
      </w:r>
      <w:r w:rsidR="00D87D03" w:rsidRPr="00BC7384">
        <w:rPr>
          <w:rFonts w:ascii="Arial Nova" w:hAnsi="Arial Nova"/>
        </w:rPr>
        <w:t xml:space="preserve"> in those organizations</w:t>
      </w:r>
      <w:r w:rsidRPr="00BC7384">
        <w:rPr>
          <w:rFonts w:ascii="Arial Nova" w:hAnsi="Arial Nova"/>
        </w:rPr>
        <w:t>.</w:t>
      </w:r>
    </w:p>
    <w:p w14:paraId="29B7AC69" w14:textId="77777777" w:rsidR="00353DF5" w:rsidRPr="002A6688" w:rsidRDefault="00353DF5" w:rsidP="00BC7384">
      <w:pPr>
        <w:spacing w:line="360" w:lineRule="auto"/>
        <w:jc w:val="both"/>
        <w:rPr>
          <w:rFonts w:ascii="Arial Nova" w:hAnsi="Arial Nova" w:cs="Arial"/>
        </w:rPr>
      </w:pPr>
    </w:p>
    <w:p w14:paraId="065E1309" w14:textId="7CC1599F" w:rsidR="00353DF5" w:rsidRPr="00232505" w:rsidRDefault="00BC7384" w:rsidP="00A16F5F">
      <w:pPr>
        <w:spacing w:line="360" w:lineRule="auto"/>
        <w:ind w:left="567" w:hanging="567"/>
        <w:jc w:val="both"/>
        <w:rPr>
          <w:rFonts w:ascii="Arial Nova" w:hAnsi="Arial Nova" w:cs="Arial"/>
          <w:b/>
          <w:bCs/>
        </w:rPr>
      </w:pPr>
      <w:r w:rsidRPr="00232505">
        <w:rPr>
          <w:rFonts w:ascii="Arial Nova" w:hAnsi="Arial Nova" w:cs="Arial"/>
          <w:b/>
          <w:bCs/>
        </w:rPr>
        <w:t xml:space="preserve">References </w:t>
      </w:r>
    </w:p>
    <w:p w14:paraId="1BEFCB96" w14:textId="2A5F1004" w:rsidR="00232505" w:rsidRPr="00232505" w:rsidRDefault="00232505" w:rsidP="00A16F5F">
      <w:pPr>
        <w:autoSpaceDE w:val="0"/>
        <w:autoSpaceDN w:val="0"/>
        <w:adjustRightInd w:val="0"/>
        <w:spacing w:line="360" w:lineRule="auto"/>
        <w:ind w:left="567" w:hanging="567"/>
        <w:jc w:val="both"/>
        <w:rPr>
          <w:rFonts w:ascii="Arial Nova" w:eastAsiaTheme="minorHAnsi" w:hAnsi="Arial Nova"/>
          <w:lang w:val="en-MY"/>
        </w:rPr>
      </w:pPr>
      <w:proofErr w:type="spellStart"/>
      <w:r w:rsidRPr="00232505">
        <w:rPr>
          <w:rFonts w:ascii="Arial Nova" w:eastAsiaTheme="minorHAnsi" w:hAnsi="Arial Nova"/>
          <w:lang w:val="en-MY"/>
        </w:rPr>
        <w:t>Aall</w:t>
      </w:r>
      <w:proofErr w:type="spellEnd"/>
      <w:r w:rsidRPr="00232505">
        <w:rPr>
          <w:rFonts w:ascii="Arial Nova" w:eastAsiaTheme="minorHAnsi" w:hAnsi="Arial Nova"/>
          <w:lang w:val="en-MY"/>
        </w:rPr>
        <w:t>, C. (1999). The Manifold History about Eco-Auditing and The Case of Municipal</w:t>
      </w:r>
      <w:r>
        <w:rPr>
          <w:rFonts w:ascii="Arial Nova" w:eastAsiaTheme="minorHAnsi" w:hAnsi="Arial Nova"/>
          <w:lang w:val="en-MY"/>
        </w:rPr>
        <w:t xml:space="preserve"> </w:t>
      </w:r>
      <w:r w:rsidRPr="00232505">
        <w:rPr>
          <w:rFonts w:ascii="Arial Nova" w:eastAsiaTheme="minorHAnsi" w:hAnsi="Arial Nova"/>
          <w:lang w:val="en-MY"/>
        </w:rPr>
        <w:t xml:space="preserve">Council in Norway. </w:t>
      </w:r>
      <w:r w:rsidRPr="00232505">
        <w:rPr>
          <w:rFonts w:ascii="Arial Nova" w:eastAsiaTheme="minorHAnsi" w:hAnsi="Arial Nova"/>
          <w:i/>
          <w:iCs/>
          <w:lang w:val="en-MY"/>
        </w:rPr>
        <w:t>Eco-Management and Auditing, 6</w:t>
      </w:r>
      <w:r w:rsidRPr="00232505">
        <w:rPr>
          <w:rFonts w:ascii="Arial Nova" w:eastAsiaTheme="minorHAnsi" w:hAnsi="Arial Nova"/>
          <w:lang w:val="en-MY"/>
        </w:rPr>
        <w:t>, 151-157.</w:t>
      </w:r>
    </w:p>
    <w:p w14:paraId="207B8D59" w14:textId="51246A0E" w:rsidR="00232505" w:rsidRPr="00232505" w:rsidRDefault="00232505" w:rsidP="00A16F5F">
      <w:pPr>
        <w:autoSpaceDE w:val="0"/>
        <w:autoSpaceDN w:val="0"/>
        <w:adjustRightInd w:val="0"/>
        <w:spacing w:line="360" w:lineRule="auto"/>
        <w:ind w:left="567" w:hanging="567"/>
        <w:jc w:val="both"/>
        <w:rPr>
          <w:rFonts w:ascii="Arial Nova" w:eastAsiaTheme="minorHAnsi" w:hAnsi="Arial Nova"/>
          <w:lang w:val="en-MY"/>
        </w:rPr>
      </w:pPr>
      <w:proofErr w:type="spellStart"/>
      <w:r w:rsidRPr="00232505">
        <w:rPr>
          <w:rFonts w:ascii="Arial Nova" w:eastAsiaTheme="minorHAnsi" w:hAnsi="Arial Nova"/>
          <w:lang w:val="en-MY"/>
        </w:rPr>
        <w:t>Anuntaakalakul</w:t>
      </w:r>
      <w:proofErr w:type="spellEnd"/>
      <w:r w:rsidRPr="00232505">
        <w:rPr>
          <w:rFonts w:ascii="Arial Nova" w:eastAsiaTheme="minorHAnsi" w:hAnsi="Arial Nova"/>
          <w:lang w:val="en-MY"/>
        </w:rPr>
        <w:t>, K., &amp; Lamberton, G. (2007). Internal Auditor Involvement in Environmental</w:t>
      </w:r>
      <w:r>
        <w:rPr>
          <w:rFonts w:ascii="Arial Nova" w:eastAsiaTheme="minorHAnsi" w:hAnsi="Arial Nova"/>
          <w:lang w:val="en-MY"/>
        </w:rPr>
        <w:t xml:space="preserve"> </w:t>
      </w:r>
      <w:r w:rsidRPr="00232505">
        <w:rPr>
          <w:rFonts w:ascii="Arial Nova" w:eastAsiaTheme="minorHAnsi" w:hAnsi="Arial Nova"/>
          <w:lang w:val="en-MY"/>
        </w:rPr>
        <w:t xml:space="preserve">Audit: Evidence from Thailand. </w:t>
      </w:r>
      <w:r w:rsidRPr="00232505">
        <w:rPr>
          <w:rFonts w:ascii="Arial Nova" w:eastAsiaTheme="minorHAnsi" w:hAnsi="Arial Nova"/>
          <w:i/>
          <w:iCs/>
          <w:lang w:val="en-MY"/>
        </w:rPr>
        <w:t xml:space="preserve">The </w:t>
      </w:r>
      <w:proofErr w:type="spellStart"/>
      <w:r w:rsidRPr="00232505">
        <w:rPr>
          <w:rFonts w:ascii="Arial Nova" w:eastAsiaTheme="minorHAnsi" w:hAnsi="Arial Nova"/>
          <w:i/>
          <w:iCs/>
          <w:lang w:val="en-MY"/>
        </w:rPr>
        <w:t>Icfai</w:t>
      </w:r>
      <w:proofErr w:type="spellEnd"/>
      <w:r w:rsidRPr="00232505">
        <w:rPr>
          <w:rFonts w:ascii="Arial Nova" w:eastAsiaTheme="minorHAnsi" w:hAnsi="Arial Nova"/>
          <w:i/>
          <w:iCs/>
          <w:lang w:val="en-MY"/>
        </w:rPr>
        <w:t xml:space="preserve"> University Press, </w:t>
      </w:r>
      <w:proofErr w:type="gramStart"/>
      <w:r w:rsidRPr="00232505">
        <w:rPr>
          <w:rFonts w:ascii="Arial Nova" w:eastAsiaTheme="minorHAnsi" w:hAnsi="Arial Nova"/>
          <w:i/>
          <w:iCs/>
          <w:lang w:val="en-MY"/>
        </w:rPr>
        <w:t>IV</w:t>
      </w:r>
      <w:r w:rsidRPr="00232505">
        <w:rPr>
          <w:rFonts w:ascii="Arial Nova" w:eastAsiaTheme="minorHAnsi" w:hAnsi="Arial Nova"/>
          <w:lang w:val="en-MY"/>
        </w:rPr>
        <w:t>(</w:t>
      </w:r>
      <w:proofErr w:type="gramEnd"/>
      <w:r w:rsidRPr="00232505">
        <w:rPr>
          <w:rFonts w:ascii="Arial Nova" w:eastAsiaTheme="minorHAnsi" w:hAnsi="Arial Nova"/>
          <w:lang w:val="en-MY"/>
        </w:rPr>
        <w:t>4), 14-24.</w:t>
      </w:r>
    </w:p>
    <w:p w14:paraId="40675EF4" w14:textId="57D61D93" w:rsidR="00232505" w:rsidRPr="00232505" w:rsidRDefault="00232505" w:rsidP="00A16F5F">
      <w:pPr>
        <w:autoSpaceDE w:val="0"/>
        <w:autoSpaceDN w:val="0"/>
        <w:adjustRightInd w:val="0"/>
        <w:spacing w:line="360" w:lineRule="auto"/>
        <w:ind w:left="567" w:hanging="567"/>
        <w:jc w:val="both"/>
        <w:rPr>
          <w:rFonts w:ascii="Arial Nova" w:eastAsiaTheme="minorHAnsi" w:hAnsi="Arial Nova"/>
          <w:lang w:val="en-MY"/>
        </w:rPr>
      </w:pPr>
      <w:r w:rsidRPr="00232505">
        <w:rPr>
          <w:rFonts w:ascii="Arial Nova" w:eastAsiaTheme="minorHAnsi" w:hAnsi="Arial Nova"/>
          <w:lang w:val="en-MY"/>
        </w:rPr>
        <w:lastRenderedPageBreak/>
        <w:t>Alvarez-</w:t>
      </w:r>
      <w:proofErr w:type="spellStart"/>
      <w:r w:rsidRPr="00232505">
        <w:rPr>
          <w:rFonts w:ascii="Arial Nova" w:eastAsiaTheme="minorHAnsi" w:hAnsi="Arial Nova"/>
          <w:lang w:val="en-MY"/>
        </w:rPr>
        <w:t>Larrauri</w:t>
      </w:r>
      <w:proofErr w:type="spellEnd"/>
      <w:r w:rsidRPr="00232505">
        <w:rPr>
          <w:rFonts w:ascii="Arial Nova" w:eastAsiaTheme="minorHAnsi" w:hAnsi="Arial Nova"/>
          <w:lang w:val="en-MY"/>
        </w:rPr>
        <w:t>, R., &amp; Fogel, I. (2008). Environmental audits as a policy of state: 10 years</w:t>
      </w:r>
      <w:r>
        <w:rPr>
          <w:rFonts w:ascii="Arial Nova" w:eastAsiaTheme="minorHAnsi" w:hAnsi="Arial Nova"/>
          <w:lang w:val="en-MY"/>
        </w:rPr>
        <w:t xml:space="preserve"> </w:t>
      </w:r>
      <w:r w:rsidRPr="00232505">
        <w:rPr>
          <w:rFonts w:ascii="Arial Nova" w:eastAsiaTheme="minorHAnsi" w:hAnsi="Arial Nova"/>
          <w:lang w:val="en-MY"/>
        </w:rPr>
        <w:t>of experience in Mexico. Journal of Cleaner Production, 16, 66-74.</w:t>
      </w:r>
    </w:p>
    <w:p w14:paraId="52A02FE9" w14:textId="54F4F86E" w:rsidR="00232505" w:rsidRPr="00232505" w:rsidRDefault="00232505" w:rsidP="00A16F5F">
      <w:pPr>
        <w:autoSpaceDE w:val="0"/>
        <w:autoSpaceDN w:val="0"/>
        <w:adjustRightInd w:val="0"/>
        <w:spacing w:line="360" w:lineRule="auto"/>
        <w:ind w:left="567" w:hanging="567"/>
        <w:jc w:val="both"/>
        <w:rPr>
          <w:rFonts w:ascii="Arial Nova" w:eastAsiaTheme="minorHAnsi" w:hAnsi="Arial Nova"/>
          <w:lang w:val="en-MY"/>
        </w:rPr>
      </w:pPr>
      <w:r w:rsidRPr="00232505">
        <w:rPr>
          <w:rFonts w:ascii="Arial Nova" w:eastAsiaTheme="minorHAnsi" w:hAnsi="Arial Nova"/>
          <w:lang w:val="en-MY"/>
        </w:rPr>
        <w:t xml:space="preserve">Bae, S., &amp; </w:t>
      </w:r>
      <w:proofErr w:type="spellStart"/>
      <w:r w:rsidRPr="00232505">
        <w:rPr>
          <w:rFonts w:ascii="Arial Nova" w:eastAsiaTheme="minorHAnsi" w:hAnsi="Arial Nova"/>
          <w:lang w:val="en-MY"/>
        </w:rPr>
        <w:t>Seol</w:t>
      </w:r>
      <w:proofErr w:type="spellEnd"/>
      <w:r w:rsidRPr="00232505">
        <w:rPr>
          <w:rFonts w:ascii="Arial Nova" w:eastAsiaTheme="minorHAnsi" w:hAnsi="Arial Nova"/>
          <w:lang w:val="en-MY"/>
        </w:rPr>
        <w:t>, I. (2006). An explanatory empirical investigation of environmental audit</w:t>
      </w:r>
      <w:r>
        <w:rPr>
          <w:rFonts w:ascii="Arial Nova" w:eastAsiaTheme="minorHAnsi" w:hAnsi="Arial Nova"/>
          <w:lang w:val="en-MY"/>
        </w:rPr>
        <w:t xml:space="preserve"> </w:t>
      </w:r>
      <w:r w:rsidRPr="00232505">
        <w:rPr>
          <w:rFonts w:ascii="Arial Nova" w:eastAsiaTheme="minorHAnsi" w:hAnsi="Arial Nova"/>
          <w:lang w:val="en-MY"/>
        </w:rPr>
        <w:t xml:space="preserve">program in S&amp;P 500 companies. </w:t>
      </w:r>
      <w:r w:rsidRPr="00232505">
        <w:rPr>
          <w:rFonts w:ascii="Arial Nova" w:eastAsiaTheme="minorHAnsi" w:hAnsi="Arial Nova"/>
          <w:i/>
          <w:iCs/>
          <w:lang w:val="en-MY"/>
        </w:rPr>
        <w:t>Management Research News, 29</w:t>
      </w:r>
      <w:r w:rsidRPr="00232505">
        <w:rPr>
          <w:rFonts w:ascii="Arial Nova" w:eastAsiaTheme="minorHAnsi" w:hAnsi="Arial Nova"/>
          <w:lang w:val="en-MY"/>
        </w:rPr>
        <w:t>(9), 573-579.</w:t>
      </w:r>
    </w:p>
    <w:p w14:paraId="7D504409" w14:textId="711B3FD7" w:rsidR="00232505" w:rsidRPr="00232505" w:rsidRDefault="00232505" w:rsidP="00A16F5F">
      <w:pPr>
        <w:autoSpaceDE w:val="0"/>
        <w:autoSpaceDN w:val="0"/>
        <w:adjustRightInd w:val="0"/>
        <w:spacing w:line="360" w:lineRule="auto"/>
        <w:ind w:left="567" w:hanging="567"/>
        <w:jc w:val="both"/>
        <w:rPr>
          <w:rFonts w:ascii="Arial Nova" w:eastAsiaTheme="minorHAnsi" w:hAnsi="Arial Nova"/>
          <w:i/>
          <w:iCs/>
          <w:lang w:val="en-MY"/>
        </w:rPr>
      </w:pPr>
      <w:proofErr w:type="spellStart"/>
      <w:r w:rsidRPr="00232505">
        <w:rPr>
          <w:rFonts w:ascii="Arial Nova" w:eastAsiaTheme="minorHAnsi" w:hAnsi="Arial Nova"/>
          <w:lang w:val="en-MY"/>
        </w:rPr>
        <w:t>Bardati</w:t>
      </w:r>
      <w:proofErr w:type="spellEnd"/>
      <w:r w:rsidRPr="00232505">
        <w:rPr>
          <w:rFonts w:ascii="Arial Nova" w:eastAsiaTheme="minorHAnsi" w:hAnsi="Arial Nova"/>
          <w:lang w:val="en-MY"/>
        </w:rPr>
        <w:t>, D. R. (2006). The integrative role of the campus environmental audit: experiences at</w:t>
      </w:r>
      <w:r>
        <w:rPr>
          <w:rFonts w:ascii="Arial Nova" w:eastAsiaTheme="minorHAnsi" w:hAnsi="Arial Nova"/>
          <w:lang w:val="en-MY"/>
        </w:rPr>
        <w:t xml:space="preserve"> </w:t>
      </w:r>
      <w:r w:rsidRPr="00232505">
        <w:rPr>
          <w:rFonts w:ascii="Arial Nova" w:eastAsiaTheme="minorHAnsi" w:hAnsi="Arial Nova"/>
          <w:lang w:val="en-MY"/>
        </w:rPr>
        <w:t>B-</w:t>
      </w:r>
      <w:proofErr w:type="spellStart"/>
      <w:r w:rsidRPr="00232505">
        <w:rPr>
          <w:rFonts w:ascii="Arial Nova" w:eastAsiaTheme="minorHAnsi" w:hAnsi="Arial Nova"/>
          <w:lang w:val="en-MY"/>
        </w:rPr>
        <w:t>ishop's</w:t>
      </w:r>
      <w:proofErr w:type="spellEnd"/>
      <w:r w:rsidRPr="00232505">
        <w:rPr>
          <w:rFonts w:ascii="Arial Nova" w:eastAsiaTheme="minorHAnsi" w:hAnsi="Arial Nova"/>
          <w:lang w:val="en-MY"/>
        </w:rPr>
        <w:t xml:space="preserve"> University, Canada. </w:t>
      </w:r>
      <w:r w:rsidRPr="00232505">
        <w:rPr>
          <w:rFonts w:ascii="Arial Nova" w:eastAsiaTheme="minorHAnsi" w:hAnsi="Arial Nova"/>
          <w:i/>
          <w:iCs/>
          <w:lang w:val="en-MY"/>
        </w:rPr>
        <w:t>International Journal of Sustainability in Higher</w:t>
      </w:r>
      <w:r>
        <w:rPr>
          <w:rFonts w:ascii="Arial Nova" w:eastAsiaTheme="minorHAnsi" w:hAnsi="Arial Nova"/>
          <w:i/>
          <w:iCs/>
          <w:lang w:val="en-MY"/>
        </w:rPr>
        <w:t xml:space="preserve"> </w:t>
      </w:r>
      <w:r w:rsidRPr="00232505">
        <w:rPr>
          <w:rFonts w:ascii="Arial Nova" w:eastAsiaTheme="minorHAnsi" w:hAnsi="Arial Nova"/>
          <w:i/>
          <w:iCs/>
          <w:lang w:val="en-MY"/>
        </w:rPr>
        <w:t>Education, 7</w:t>
      </w:r>
      <w:r w:rsidRPr="00232505">
        <w:rPr>
          <w:rFonts w:ascii="Arial Nova" w:eastAsiaTheme="minorHAnsi" w:hAnsi="Arial Nova"/>
          <w:lang w:val="en-MY"/>
        </w:rPr>
        <w:t>(1), 57-68.</w:t>
      </w:r>
      <w:r>
        <w:rPr>
          <w:rFonts w:ascii="Arial Nova" w:eastAsiaTheme="minorHAnsi" w:hAnsi="Arial Nova"/>
          <w:lang w:val="en-MY"/>
        </w:rPr>
        <w:t xml:space="preserve"> </w:t>
      </w:r>
    </w:p>
    <w:p w14:paraId="2098237F" w14:textId="1E2212FF" w:rsidR="00BC7384" w:rsidRPr="00232505" w:rsidRDefault="00232505" w:rsidP="00A16F5F">
      <w:pPr>
        <w:autoSpaceDE w:val="0"/>
        <w:autoSpaceDN w:val="0"/>
        <w:adjustRightInd w:val="0"/>
        <w:spacing w:line="360" w:lineRule="auto"/>
        <w:ind w:left="567" w:hanging="567"/>
        <w:jc w:val="both"/>
        <w:rPr>
          <w:rFonts w:ascii="Arial Nova" w:eastAsiaTheme="minorHAnsi" w:hAnsi="Arial Nova"/>
          <w:lang w:val="en-MY"/>
        </w:rPr>
      </w:pPr>
      <w:r w:rsidRPr="00232505">
        <w:rPr>
          <w:rFonts w:ascii="Arial Nova" w:eastAsiaTheme="minorHAnsi" w:hAnsi="Arial Nova"/>
          <w:lang w:val="en-MY"/>
        </w:rPr>
        <w:t xml:space="preserve">Biddle, B. J. (1986). Recent Development in Role theory. </w:t>
      </w:r>
      <w:r w:rsidRPr="00232505">
        <w:rPr>
          <w:rFonts w:ascii="Arial Nova" w:eastAsiaTheme="minorHAnsi" w:hAnsi="Arial Nova"/>
          <w:i/>
          <w:iCs/>
          <w:lang w:val="en-MY"/>
        </w:rPr>
        <w:t>Annual Review of Sociology, 12</w:t>
      </w:r>
      <w:r w:rsidRPr="00232505">
        <w:rPr>
          <w:rFonts w:ascii="Arial Nova" w:eastAsiaTheme="minorHAnsi" w:hAnsi="Arial Nova"/>
          <w:lang w:val="en-MY"/>
        </w:rPr>
        <w:t>,</w:t>
      </w:r>
      <w:r>
        <w:rPr>
          <w:rFonts w:ascii="Arial Nova" w:eastAsiaTheme="minorHAnsi" w:hAnsi="Arial Nova"/>
          <w:lang w:val="en-MY"/>
        </w:rPr>
        <w:t xml:space="preserve"> </w:t>
      </w:r>
      <w:r w:rsidRPr="00232505">
        <w:rPr>
          <w:rFonts w:ascii="Arial Nova" w:eastAsiaTheme="minorHAnsi" w:hAnsi="Arial Nova"/>
          <w:lang w:val="en-MY"/>
        </w:rPr>
        <w:t>67-92.</w:t>
      </w:r>
    </w:p>
    <w:p w14:paraId="45725BF3" w14:textId="145A7584" w:rsidR="00232505" w:rsidRPr="00232505" w:rsidRDefault="00232505" w:rsidP="00A16F5F">
      <w:pPr>
        <w:autoSpaceDE w:val="0"/>
        <w:autoSpaceDN w:val="0"/>
        <w:adjustRightInd w:val="0"/>
        <w:spacing w:line="360" w:lineRule="auto"/>
        <w:ind w:left="567" w:hanging="567"/>
        <w:jc w:val="both"/>
        <w:rPr>
          <w:rFonts w:ascii="Arial Nova" w:eastAsiaTheme="minorHAnsi" w:hAnsi="Arial Nova"/>
          <w:color w:val="000000"/>
          <w:lang w:val="en-MY"/>
        </w:rPr>
      </w:pPr>
      <w:r w:rsidRPr="00232505">
        <w:rPr>
          <w:rFonts w:ascii="Arial Nova" w:eastAsiaTheme="minorHAnsi" w:hAnsi="Arial Nova"/>
          <w:color w:val="000000"/>
          <w:lang w:val="en-MY"/>
        </w:rPr>
        <w:t>Byington, J. R., &amp; Campbell, S. (1997). Should the Internal Auditor be Used in</w:t>
      </w:r>
      <w:r>
        <w:rPr>
          <w:rFonts w:ascii="Arial Nova" w:eastAsiaTheme="minorHAnsi" w:hAnsi="Arial Nova"/>
          <w:color w:val="000000"/>
          <w:lang w:val="en-MY"/>
        </w:rPr>
        <w:t xml:space="preserve"> </w:t>
      </w:r>
      <w:r w:rsidRPr="00232505">
        <w:rPr>
          <w:rFonts w:ascii="Arial Nova" w:eastAsiaTheme="minorHAnsi" w:hAnsi="Arial Nova"/>
          <w:color w:val="000000"/>
          <w:lang w:val="en-MY"/>
        </w:rPr>
        <w:t xml:space="preserve">Environmental Accounting? </w:t>
      </w:r>
      <w:r w:rsidRPr="00232505">
        <w:rPr>
          <w:rFonts w:ascii="Arial Nova" w:eastAsiaTheme="minorHAnsi" w:hAnsi="Arial Nova"/>
          <w:i/>
          <w:iCs/>
          <w:color w:val="000000"/>
          <w:lang w:val="en-MY"/>
        </w:rPr>
        <w:t>The Journal of Corporate Accounting and Finance</w:t>
      </w:r>
      <w:r w:rsidRPr="00232505">
        <w:rPr>
          <w:rFonts w:ascii="Arial Nova" w:eastAsiaTheme="minorHAnsi" w:hAnsi="Arial Nova"/>
          <w:color w:val="000000"/>
          <w:lang w:val="en-MY"/>
        </w:rPr>
        <w:t>, 139-146.</w:t>
      </w:r>
    </w:p>
    <w:p w14:paraId="26A28514" w14:textId="5A58AE2E" w:rsidR="00232505" w:rsidRPr="00232505" w:rsidRDefault="00232505" w:rsidP="00A16F5F">
      <w:pPr>
        <w:autoSpaceDE w:val="0"/>
        <w:autoSpaceDN w:val="0"/>
        <w:adjustRightInd w:val="0"/>
        <w:spacing w:line="360" w:lineRule="auto"/>
        <w:ind w:left="567" w:hanging="567"/>
        <w:jc w:val="both"/>
        <w:rPr>
          <w:rFonts w:ascii="Arial Nova" w:eastAsiaTheme="minorHAnsi" w:hAnsi="Arial Nova"/>
          <w:color w:val="000000"/>
          <w:lang w:val="en-MY"/>
        </w:rPr>
      </w:pPr>
      <w:r w:rsidRPr="00232505">
        <w:rPr>
          <w:rFonts w:ascii="Arial Nova" w:eastAsiaTheme="minorHAnsi" w:hAnsi="Arial Nova"/>
          <w:color w:val="000000"/>
          <w:lang w:val="en-MY"/>
        </w:rPr>
        <w:t xml:space="preserve">Buang, A. (2007). </w:t>
      </w:r>
      <w:r w:rsidRPr="00232505">
        <w:rPr>
          <w:rFonts w:ascii="Arial Nova" w:eastAsiaTheme="minorHAnsi" w:hAnsi="Arial Nova"/>
          <w:i/>
          <w:iCs/>
          <w:color w:val="000000"/>
          <w:lang w:val="en-MY"/>
        </w:rPr>
        <w:t>Emerging Issues and Global Challenges in the Public Sector Audit in the</w:t>
      </w:r>
      <w:r>
        <w:rPr>
          <w:rFonts w:ascii="Arial Nova" w:eastAsiaTheme="minorHAnsi" w:hAnsi="Arial Nova"/>
          <w:i/>
          <w:iCs/>
          <w:color w:val="000000"/>
          <w:lang w:val="en-MY"/>
        </w:rPr>
        <w:t xml:space="preserve"> </w:t>
      </w:r>
      <w:r w:rsidRPr="00232505">
        <w:rPr>
          <w:rFonts w:ascii="Arial Nova" w:eastAsiaTheme="minorHAnsi" w:hAnsi="Arial Nova"/>
          <w:i/>
          <w:iCs/>
          <w:color w:val="000000"/>
          <w:lang w:val="en-MY"/>
        </w:rPr>
        <w:t xml:space="preserve">21st Century - Malaysian Perspective. </w:t>
      </w:r>
      <w:r w:rsidRPr="00232505">
        <w:rPr>
          <w:rFonts w:ascii="Arial Nova" w:eastAsiaTheme="minorHAnsi" w:hAnsi="Arial Nova"/>
          <w:color w:val="000000"/>
          <w:lang w:val="en-MY"/>
        </w:rPr>
        <w:t>Putrajaya: The National Audit Department.</w:t>
      </w:r>
    </w:p>
    <w:p w14:paraId="54AF182E" w14:textId="19031D9F" w:rsidR="00232505" w:rsidRPr="00232505" w:rsidRDefault="00232505" w:rsidP="00A16F5F">
      <w:pPr>
        <w:autoSpaceDE w:val="0"/>
        <w:autoSpaceDN w:val="0"/>
        <w:adjustRightInd w:val="0"/>
        <w:spacing w:line="360" w:lineRule="auto"/>
        <w:ind w:left="567" w:hanging="567"/>
        <w:jc w:val="both"/>
        <w:rPr>
          <w:rFonts w:ascii="Arial Nova" w:eastAsiaTheme="minorHAnsi" w:hAnsi="Arial Nova"/>
          <w:color w:val="000000"/>
          <w:lang w:val="en-MY"/>
        </w:rPr>
      </w:pPr>
      <w:r w:rsidRPr="00232505">
        <w:rPr>
          <w:rFonts w:ascii="Arial Nova" w:eastAsiaTheme="minorHAnsi" w:hAnsi="Arial Nova"/>
          <w:color w:val="000000"/>
          <w:lang w:val="en-MY"/>
        </w:rPr>
        <w:t>Campbell, S., &amp; Byington, R. J. (1998). ISO 14001: Environmental Auditing for</w:t>
      </w:r>
      <w:r>
        <w:rPr>
          <w:rFonts w:ascii="Arial Nova" w:eastAsiaTheme="minorHAnsi" w:hAnsi="Arial Nova"/>
          <w:color w:val="000000"/>
          <w:lang w:val="en-MY"/>
        </w:rPr>
        <w:t xml:space="preserve"> </w:t>
      </w:r>
      <w:r w:rsidRPr="00232505">
        <w:rPr>
          <w:rFonts w:ascii="Arial Nova" w:eastAsiaTheme="minorHAnsi" w:hAnsi="Arial Nova"/>
          <w:color w:val="000000"/>
          <w:lang w:val="en-MY"/>
        </w:rPr>
        <w:t xml:space="preserve">Manufacturing Companies. </w:t>
      </w:r>
      <w:r w:rsidRPr="00232505">
        <w:rPr>
          <w:rFonts w:ascii="Arial Nova" w:eastAsiaTheme="minorHAnsi" w:hAnsi="Arial Nova"/>
          <w:i/>
          <w:iCs/>
          <w:color w:val="000000"/>
          <w:lang w:val="en-MY"/>
        </w:rPr>
        <w:t>Journal of Corporate Accounting and Finance</w:t>
      </w:r>
      <w:r w:rsidRPr="00232505">
        <w:rPr>
          <w:rFonts w:ascii="Arial Nova" w:eastAsiaTheme="minorHAnsi" w:hAnsi="Arial Nova"/>
          <w:color w:val="000000"/>
          <w:lang w:val="en-MY"/>
        </w:rPr>
        <w:t>, 107-118.</w:t>
      </w:r>
    </w:p>
    <w:p w14:paraId="639EDC43" w14:textId="50AC507B" w:rsidR="00232505" w:rsidRPr="00232505" w:rsidRDefault="00232505" w:rsidP="00A16F5F">
      <w:pPr>
        <w:autoSpaceDE w:val="0"/>
        <w:autoSpaceDN w:val="0"/>
        <w:adjustRightInd w:val="0"/>
        <w:spacing w:line="360" w:lineRule="auto"/>
        <w:ind w:left="567" w:hanging="567"/>
        <w:jc w:val="both"/>
        <w:rPr>
          <w:rFonts w:ascii="Arial Nova" w:eastAsiaTheme="minorHAnsi" w:hAnsi="Arial Nova"/>
          <w:color w:val="000000"/>
          <w:lang w:val="en-MY"/>
        </w:rPr>
      </w:pPr>
      <w:proofErr w:type="spellStart"/>
      <w:r w:rsidRPr="00232505">
        <w:rPr>
          <w:rFonts w:ascii="Arial Nova" w:eastAsiaTheme="minorHAnsi" w:hAnsi="Arial Nova"/>
          <w:color w:val="000000"/>
          <w:lang w:val="en-MY"/>
        </w:rPr>
        <w:t>Earnhart</w:t>
      </w:r>
      <w:proofErr w:type="spellEnd"/>
      <w:r w:rsidRPr="00232505">
        <w:rPr>
          <w:rFonts w:ascii="Arial Nova" w:eastAsiaTheme="minorHAnsi" w:hAnsi="Arial Nova"/>
          <w:color w:val="000000"/>
          <w:lang w:val="en-MY"/>
        </w:rPr>
        <w:t>, D., &amp; Leonard, J. M. (2013). Determinants of environmental audit frequency: The</w:t>
      </w:r>
      <w:r>
        <w:rPr>
          <w:rFonts w:ascii="Arial Nova" w:eastAsiaTheme="minorHAnsi" w:hAnsi="Arial Nova"/>
          <w:color w:val="000000"/>
          <w:lang w:val="en-MY"/>
        </w:rPr>
        <w:t xml:space="preserve"> </w:t>
      </w:r>
      <w:r w:rsidRPr="00232505">
        <w:rPr>
          <w:rFonts w:ascii="Arial Nova" w:eastAsiaTheme="minorHAnsi" w:hAnsi="Arial Nova"/>
          <w:color w:val="000000"/>
          <w:lang w:val="en-MY"/>
        </w:rPr>
        <w:t xml:space="preserve">role of firm organisational structure. </w:t>
      </w:r>
      <w:r w:rsidRPr="00232505">
        <w:rPr>
          <w:rFonts w:ascii="Arial Nova" w:eastAsiaTheme="minorHAnsi" w:hAnsi="Arial Nova"/>
          <w:i/>
          <w:iCs/>
          <w:color w:val="000000"/>
          <w:lang w:val="en-MY"/>
        </w:rPr>
        <w:t>Journal of Environmental Management, 128</w:t>
      </w:r>
      <w:r w:rsidRPr="00232505">
        <w:rPr>
          <w:rFonts w:ascii="Arial Nova" w:eastAsiaTheme="minorHAnsi" w:hAnsi="Arial Nova"/>
          <w:color w:val="000000"/>
          <w:lang w:val="en-MY"/>
        </w:rPr>
        <w:t>, 497-</w:t>
      </w:r>
      <w:r>
        <w:rPr>
          <w:rFonts w:ascii="Arial Nova" w:eastAsiaTheme="minorHAnsi" w:hAnsi="Arial Nova"/>
          <w:color w:val="000000"/>
          <w:lang w:val="en-MY"/>
        </w:rPr>
        <w:t xml:space="preserve"> </w:t>
      </w:r>
      <w:r w:rsidRPr="00232505">
        <w:rPr>
          <w:rFonts w:ascii="Arial Nova" w:eastAsiaTheme="minorHAnsi" w:hAnsi="Arial Nova"/>
          <w:color w:val="000000"/>
          <w:lang w:val="en-MY"/>
        </w:rPr>
        <w:t>513.</w:t>
      </w:r>
    </w:p>
    <w:p w14:paraId="7F77F24E" w14:textId="683CA40A" w:rsidR="00232505" w:rsidRPr="00232505" w:rsidRDefault="00232505" w:rsidP="00A16F5F">
      <w:pPr>
        <w:autoSpaceDE w:val="0"/>
        <w:autoSpaceDN w:val="0"/>
        <w:adjustRightInd w:val="0"/>
        <w:spacing w:line="360" w:lineRule="auto"/>
        <w:ind w:left="567" w:hanging="567"/>
        <w:jc w:val="both"/>
        <w:rPr>
          <w:rFonts w:ascii="Arial Nova" w:eastAsiaTheme="minorHAnsi" w:hAnsi="Arial Nova"/>
          <w:color w:val="000000"/>
          <w:lang w:val="en-MY"/>
        </w:rPr>
      </w:pPr>
      <w:r w:rsidRPr="00232505">
        <w:rPr>
          <w:rFonts w:ascii="Arial Nova" w:eastAsiaTheme="minorHAnsi" w:hAnsi="Arial Nova"/>
          <w:color w:val="000000"/>
          <w:lang w:val="en-MY"/>
        </w:rPr>
        <w:t>Evans, M. F., Liu, L., &amp; Stafford, S. L. (2011). Do environmental audits improve long term</w:t>
      </w:r>
      <w:r>
        <w:rPr>
          <w:rFonts w:ascii="Arial Nova" w:eastAsiaTheme="minorHAnsi" w:hAnsi="Arial Nova"/>
          <w:color w:val="000000"/>
          <w:lang w:val="en-MY"/>
        </w:rPr>
        <w:t xml:space="preserve"> </w:t>
      </w:r>
      <w:r w:rsidRPr="00232505">
        <w:rPr>
          <w:rFonts w:ascii="Arial Nova" w:eastAsiaTheme="minorHAnsi" w:hAnsi="Arial Nova"/>
          <w:color w:val="000000"/>
          <w:lang w:val="en-MY"/>
        </w:rPr>
        <w:t xml:space="preserve">compliance? Evidence from manufacturing facilities in Michigan. </w:t>
      </w:r>
      <w:r w:rsidRPr="00232505">
        <w:rPr>
          <w:rFonts w:ascii="Arial Nova" w:eastAsiaTheme="minorHAnsi" w:hAnsi="Arial Nova"/>
          <w:i/>
          <w:iCs/>
          <w:color w:val="000000"/>
          <w:lang w:val="en-MY"/>
        </w:rPr>
        <w:t>Journal of</w:t>
      </w:r>
      <w:r>
        <w:rPr>
          <w:rFonts w:ascii="Arial Nova" w:eastAsiaTheme="minorHAnsi" w:hAnsi="Arial Nova"/>
          <w:i/>
          <w:iCs/>
          <w:color w:val="000000"/>
          <w:lang w:val="en-MY"/>
        </w:rPr>
        <w:t xml:space="preserve"> </w:t>
      </w:r>
      <w:r w:rsidRPr="00232505">
        <w:rPr>
          <w:rFonts w:ascii="Arial Nova" w:eastAsiaTheme="minorHAnsi" w:hAnsi="Arial Nova"/>
          <w:i/>
          <w:iCs/>
          <w:color w:val="000000"/>
          <w:lang w:val="en-MY"/>
        </w:rPr>
        <w:t>Regulation Economy, 40</w:t>
      </w:r>
      <w:r w:rsidRPr="00232505">
        <w:rPr>
          <w:rFonts w:ascii="Arial Nova" w:eastAsiaTheme="minorHAnsi" w:hAnsi="Arial Nova"/>
          <w:color w:val="000000"/>
          <w:lang w:val="en-MY"/>
        </w:rPr>
        <w:t>, 279-302.</w:t>
      </w:r>
    </w:p>
    <w:p w14:paraId="4D193D00" w14:textId="0D3B5E98" w:rsidR="00232505" w:rsidRPr="00232505" w:rsidRDefault="00232505" w:rsidP="00A16F5F">
      <w:pPr>
        <w:autoSpaceDE w:val="0"/>
        <w:autoSpaceDN w:val="0"/>
        <w:adjustRightInd w:val="0"/>
        <w:spacing w:line="360" w:lineRule="auto"/>
        <w:ind w:left="567" w:hanging="567"/>
        <w:jc w:val="both"/>
        <w:rPr>
          <w:rFonts w:ascii="Arial Nova" w:eastAsiaTheme="minorHAnsi" w:hAnsi="Arial Nova"/>
          <w:color w:val="000000"/>
          <w:lang w:val="en-MY"/>
        </w:rPr>
      </w:pPr>
      <w:r w:rsidRPr="00232505">
        <w:rPr>
          <w:rFonts w:ascii="Arial Nova" w:eastAsiaTheme="minorHAnsi" w:hAnsi="Arial Nova"/>
          <w:color w:val="000000"/>
          <w:lang w:val="en-MY"/>
        </w:rPr>
        <w:t xml:space="preserve">Fondas, N. (1994, January). Enactment in Managerial Jobs: A Roles Analysis. </w:t>
      </w:r>
      <w:r w:rsidRPr="00232505">
        <w:rPr>
          <w:rFonts w:ascii="Arial Nova" w:eastAsiaTheme="minorHAnsi" w:hAnsi="Arial Nova"/>
          <w:i/>
          <w:iCs/>
          <w:color w:val="000000"/>
          <w:lang w:val="en-MY"/>
        </w:rPr>
        <w:t>Journal of</w:t>
      </w:r>
      <w:r>
        <w:rPr>
          <w:rFonts w:ascii="Arial Nova" w:eastAsiaTheme="minorHAnsi" w:hAnsi="Arial Nova"/>
          <w:i/>
          <w:iCs/>
          <w:color w:val="000000"/>
          <w:lang w:val="en-MY"/>
        </w:rPr>
        <w:t xml:space="preserve"> </w:t>
      </w:r>
      <w:r w:rsidRPr="00232505">
        <w:rPr>
          <w:rFonts w:ascii="Arial Nova" w:eastAsiaTheme="minorHAnsi" w:hAnsi="Arial Nova"/>
          <w:i/>
          <w:iCs/>
          <w:color w:val="000000"/>
          <w:lang w:val="en-MY"/>
        </w:rPr>
        <w:t>Management Studies, 31</w:t>
      </w:r>
      <w:r w:rsidRPr="00232505">
        <w:rPr>
          <w:rFonts w:ascii="Arial Nova" w:eastAsiaTheme="minorHAnsi" w:hAnsi="Arial Nova"/>
          <w:color w:val="000000"/>
          <w:lang w:val="en-MY"/>
        </w:rPr>
        <w:t>(1), 84-103.</w:t>
      </w:r>
    </w:p>
    <w:p w14:paraId="51CAF5D5" w14:textId="5891551F" w:rsidR="00232505" w:rsidRPr="00232505" w:rsidRDefault="00232505" w:rsidP="00A16F5F">
      <w:pPr>
        <w:autoSpaceDE w:val="0"/>
        <w:autoSpaceDN w:val="0"/>
        <w:adjustRightInd w:val="0"/>
        <w:spacing w:line="360" w:lineRule="auto"/>
        <w:ind w:left="567" w:hanging="567"/>
        <w:jc w:val="both"/>
        <w:rPr>
          <w:rFonts w:ascii="Arial Nova" w:eastAsiaTheme="minorHAnsi" w:hAnsi="Arial Nova"/>
          <w:color w:val="000000"/>
          <w:lang w:val="en-MY"/>
        </w:rPr>
      </w:pPr>
      <w:r w:rsidRPr="00232505">
        <w:rPr>
          <w:rFonts w:ascii="Arial Nova" w:eastAsiaTheme="minorHAnsi" w:hAnsi="Arial Nova"/>
          <w:color w:val="000000"/>
          <w:lang w:val="en-MY"/>
        </w:rPr>
        <w:t>Hartley, J. (2004). Case Study Research. In C. Cassell, &amp; G. Symon, Essential guide to</w:t>
      </w:r>
      <w:r>
        <w:rPr>
          <w:rFonts w:ascii="Arial Nova" w:eastAsiaTheme="minorHAnsi" w:hAnsi="Arial Nova"/>
          <w:color w:val="000000"/>
          <w:lang w:val="en-MY"/>
        </w:rPr>
        <w:t xml:space="preserve"> </w:t>
      </w:r>
      <w:r w:rsidRPr="00232505">
        <w:rPr>
          <w:rFonts w:ascii="Arial Nova" w:eastAsiaTheme="minorHAnsi" w:hAnsi="Arial Nova"/>
          <w:color w:val="000000"/>
          <w:lang w:val="en-MY"/>
        </w:rPr>
        <w:t>qualitative methods in organisational research (pp. 323-334). New York: SAGE</w:t>
      </w:r>
      <w:r>
        <w:rPr>
          <w:rFonts w:ascii="Arial Nova" w:eastAsiaTheme="minorHAnsi" w:hAnsi="Arial Nova"/>
          <w:color w:val="000000"/>
          <w:lang w:val="en-MY"/>
        </w:rPr>
        <w:t xml:space="preserve"> </w:t>
      </w:r>
      <w:r w:rsidRPr="00232505">
        <w:rPr>
          <w:rFonts w:ascii="Arial Nova" w:eastAsiaTheme="minorHAnsi" w:hAnsi="Arial Nova"/>
          <w:color w:val="000000"/>
          <w:lang w:val="en-MY"/>
        </w:rPr>
        <w:t>Publication Ltd.</w:t>
      </w:r>
    </w:p>
    <w:p w14:paraId="361D1E40" w14:textId="77777777" w:rsidR="00232505" w:rsidRDefault="00232505" w:rsidP="00A16F5F">
      <w:pPr>
        <w:autoSpaceDE w:val="0"/>
        <w:autoSpaceDN w:val="0"/>
        <w:adjustRightInd w:val="0"/>
        <w:spacing w:line="360" w:lineRule="auto"/>
        <w:ind w:left="567" w:hanging="567"/>
        <w:jc w:val="both"/>
        <w:rPr>
          <w:rFonts w:ascii="Arial Nova" w:eastAsiaTheme="minorHAnsi" w:hAnsi="Arial Nova"/>
          <w:color w:val="000000"/>
          <w:lang w:val="en-MY"/>
        </w:rPr>
      </w:pPr>
      <w:r w:rsidRPr="00232505">
        <w:rPr>
          <w:rFonts w:ascii="Arial Nova" w:eastAsiaTheme="minorHAnsi" w:hAnsi="Arial Nova"/>
          <w:color w:val="000000"/>
          <w:lang w:val="en-MY"/>
        </w:rPr>
        <w:lastRenderedPageBreak/>
        <w:t>Heras-</w:t>
      </w:r>
      <w:proofErr w:type="spellStart"/>
      <w:r w:rsidRPr="00232505">
        <w:rPr>
          <w:rFonts w:ascii="Arial Nova" w:eastAsiaTheme="minorHAnsi" w:hAnsi="Arial Nova"/>
          <w:color w:val="000000"/>
          <w:lang w:val="en-MY"/>
        </w:rPr>
        <w:t>Saizarbitoria</w:t>
      </w:r>
      <w:proofErr w:type="spellEnd"/>
      <w:r w:rsidRPr="00232505">
        <w:rPr>
          <w:rFonts w:ascii="Arial Nova" w:eastAsiaTheme="minorHAnsi" w:hAnsi="Arial Nova"/>
          <w:color w:val="000000"/>
          <w:lang w:val="en-MY"/>
        </w:rPr>
        <w:t xml:space="preserve">, I., </w:t>
      </w:r>
      <w:proofErr w:type="spellStart"/>
      <w:r w:rsidRPr="00232505">
        <w:rPr>
          <w:rFonts w:ascii="Arial Nova" w:eastAsiaTheme="minorHAnsi" w:hAnsi="Arial Nova"/>
          <w:color w:val="000000"/>
          <w:lang w:val="en-MY"/>
        </w:rPr>
        <w:t>Dogui</w:t>
      </w:r>
      <w:proofErr w:type="spellEnd"/>
      <w:r w:rsidRPr="00232505">
        <w:rPr>
          <w:rFonts w:ascii="Arial Nova" w:eastAsiaTheme="minorHAnsi" w:hAnsi="Arial Nova"/>
          <w:color w:val="000000"/>
          <w:lang w:val="en-MY"/>
        </w:rPr>
        <w:t xml:space="preserve">, K., &amp; </w:t>
      </w:r>
      <w:proofErr w:type="spellStart"/>
      <w:r w:rsidRPr="00232505">
        <w:rPr>
          <w:rFonts w:ascii="Arial Nova" w:eastAsiaTheme="minorHAnsi" w:hAnsi="Arial Nova"/>
          <w:color w:val="000000"/>
          <w:lang w:val="en-MY"/>
        </w:rPr>
        <w:t>Boiral</w:t>
      </w:r>
      <w:proofErr w:type="spellEnd"/>
      <w:r w:rsidRPr="00232505">
        <w:rPr>
          <w:rFonts w:ascii="Arial Nova" w:eastAsiaTheme="minorHAnsi" w:hAnsi="Arial Nova"/>
          <w:color w:val="000000"/>
          <w:lang w:val="en-MY"/>
        </w:rPr>
        <w:t>, O. (2013). Shedding light on ISO 14001</w:t>
      </w:r>
      <w:r>
        <w:rPr>
          <w:rFonts w:ascii="Arial Nova" w:eastAsiaTheme="minorHAnsi" w:hAnsi="Arial Nova"/>
          <w:color w:val="000000"/>
          <w:lang w:val="en-MY"/>
        </w:rPr>
        <w:t xml:space="preserve"> </w:t>
      </w:r>
      <w:r w:rsidRPr="00232505">
        <w:rPr>
          <w:rFonts w:ascii="Arial Nova" w:eastAsiaTheme="minorHAnsi" w:hAnsi="Arial Nova"/>
          <w:color w:val="000000"/>
          <w:lang w:val="en-MY"/>
        </w:rPr>
        <w:t>certification audits. Journal of Cleaner Production, 51, 88-98.</w:t>
      </w:r>
    </w:p>
    <w:p w14:paraId="5A9BDF99" w14:textId="215C88EE" w:rsidR="00232505" w:rsidRPr="00232505" w:rsidRDefault="00232505" w:rsidP="00A16F5F">
      <w:pPr>
        <w:autoSpaceDE w:val="0"/>
        <w:autoSpaceDN w:val="0"/>
        <w:adjustRightInd w:val="0"/>
        <w:spacing w:line="360" w:lineRule="auto"/>
        <w:ind w:left="567" w:hanging="567"/>
        <w:jc w:val="both"/>
        <w:rPr>
          <w:rFonts w:ascii="Arial Nova" w:eastAsiaTheme="minorHAnsi" w:hAnsi="Arial Nova"/>
          <w:color w:val="000000"/>
          <w:lang w:val="en-MY"/>
        </w:rPr>
      </w:pPr>
      <w:r w:rsidRPr="00232505">
        <w:rPr>
          <w:rFonts w:ascii="Arial Nova" w:eastAsiaTheme="minorHAnsi" w:hAnsi="Arial Nova"/>
          <w:color w:val="000000"/>
          <w:lang w:val="en-MY"/>
        </w:rPr>
        <w:t>Lynch, K. D. (2007). Modelling Role Enactment: Linking Role theory and Social Cognition.</w:t>
      </w:r>
      <w:r>
        <w:rPr>
          <w:rFonts w:ascii="Arial Nova" w:eastAsiaTheme="minorHAnsi" w:hAnsi="Arial Nova"/>
          <w:color w:val="000000"/>
          <w:lang w:val="en-MY"/>
        </w:rPr>
        <w:t xml:space="preserve"> </w:t>
      </w:r>
      <w:r w:rsidRPr="00232505">
        <w:rPr>
          <w:rFonts w:ascii="Arial Nova" w:eastAsiaTheme="minorHAnsi" w:hAnsi="Arial Nova"/>
          <w:i/>
          <w:iCs/>
          <w:color w:val="000000"/>
          <w:lang w:val="en-MY"/>
        </w:rPr>
        <w:t>Journal for the Theory of Social Behaviour, 37</w:t>
      </w:r>
      <w:r w:rsidRPr="00232505">
        <w:rPr>
          <w:rFonts w:ascii="Arial Nova" w:eastAsiaTheme="minorHAnsi" w:hAnsi="Arial Nova"/>
          <w:color w:val="000000"/>
          <w:lang w:val="en-MY"/>
        </w:rPr>
        <w:t>(4), 379 - 399.</w:t>
      </w:r>
    </w:p>
    <w:p w14:paraId="6054FB46" w14:textId="282E655B" w:rsidR="00232505" w:rsidRPr="00232505" w:rsidRDefault="00232505" w:rsidP="00A16F5F">
      <w:pPr>
        <w:autoSpaceDE w:val="0"/>
        <w:autoSpaceDN w:val="0"/>
        <w:adjustRightInd w:val="0"/>
        <w:spacing w:line="360" w:lineRule="auto"/>
        <w:ind w:left="567" w:hanging="567"/>
        <w:jc w:val="both"/>
        <w:rPr>
          <w:rFonts w:ascii="Arial Nova" w:eastAsiaTheme="minorHAnsi" w:hAnsi="Arial Nova"/>
          <w:color w:val="000000"/>
          <w:lang w:val="en-MY"/>
        </w:rPr>
      </w:pPr>
      <w:proofErr w:type="spellStart"/>
      <w:r w:rsidRPr="00232505">
        <w:rPr>
          <w:rFonts w:ascii="Arial Nova" w:eastAsiaTheme="minorHAnsi" w:hAnsi="Arial Nova"/>
          <w:color w:val="000000"/>
          <w:lang w:val="en-MY"/>
        </w:rPr>
        <w:t>Mantere</w:t>
      </w:r>
      <w:proofErr w:type="spellEnd"/>
      <w:r w:rsidRPr="00232505">
        <w:rPr>
          <w:rFonts w:ascii="Arial Nova" w:eastAsiaTheme="minorHAnsi" w:hAnsi="Arial Nova"/>
          <w:color w:val="000000"/>
          <w:lang w:val="en-MY"/>
        </w:rPr>
        <w:t xml:space="preserve">, S. (2008). Role Expectations and Middle Manager Strategic Agency. </w:t>
      </w:r>
      <w:r w:rsidRPr="00232505">
        <w:rPr>
          <w:rFonts w:ascii="Arial Nova" w:eastAsiaTheme="minorHAnsi" w:hAnsi="Arial Nova"/>
          <w:i/>
          <w:iCs/>
          <w:color w:val="000000"/>
          <w:lang w:val="en-MY"/>
        </w:rPr>
        <w:t>Journal of</w:t>
      </w:r>
      <w:r>
        <w:rPr>
          <w:rFonts w:ascii="Arial Nova" w:eastAsiaTheme="minorHAnsi" w:hAnsi="Arial Nova"/>
          <w:i/>
          <w:iCs/>
          <w:color w:val="000000"/>
          <w:lang w:val="en-MY"/>
        </w:rPr>
        <w:t xml:space="preserve"> </w:t>
      </w:r>
      <w:r w:rsidRPr="00232505">
        <w:rPr>
          <w:rFonts w:ascii="Arial Nova" w:eastAsiaTheme="minorHAnsi" w:hAnsi="Arial Nova"/>
          <w:i/>
          <w:iCs/>
          <w:color w:val="000000"/>
          <w:lang w:val="en-MY"/>
        </w:rPr>
        <w:t>Management Studies, 45</w:t>
      </w:r>
      <w:r w:rsidRPr="00232505">
        <w:rPr>
          <w:rFonts w:ascii="Arial Nova" w:eastAsiaTheme="minorHAnsi" w:hAnsi="Arial Nova"/>
          <w:color w:val="000000"/>
          <w:lang w:val="en-MY"/>
        </w:rPr>
        <w:t>(2), 294-316.</w:t>
      </w:r>
    </w:p>
    <w:p w14:paraId="12410BAD" w14:textId="069CCB9D" w:rsidR="00232505" w:rsidRPr="00232505" w:rsidRDefault="00232505" w:rsidP="00A16F5F">
      <w:pPr>
        <w:autoSpaceDE w:val="0"/>
        <w:autoSpaceDN w:val="0"/>
        <w:adjustRightInd w:val="0"/>
        <w:spacing w:line="360" w:lineRule="auto"/>
        <w:ind w:left="567" w:hanging="567"/>
        <w:jc w:val="both"/>
        <w:rPr>
          <w:rFonts w:ascii="Arial Nova" w:eastAsiaTheme="minorHAnsi" w:hAnsi="Arial Nova"/>
          <w:color w:val="000000"/>
          <w:lang w:val="en-MY"/>
        </w:rPr>
      </w:pPr>
      <w:r w:rsidRPr="00232505">
        <w:rPr>
          <w:rFonts w:ascii="Arial Nova" w:eastAsiaTheme="minorHAnsi" w:hAnsi="Arial Nova"/>
          <w:color w:val="000000"/>
          <w:lang w:val="en-MY"/>
        </w:rPr>
        <w:t xml:space="preserve">Moor, P. d., &amp; </w:t>
      </w:r>
      <w:proofErr w:type="spellStart"/>
      <w:r w:rsidRPr="00232505">
        <w:rPr>
          <w:rFonts w:ascii="Arial Nova" w:eastAsiaTheme="minorHAnsi" w:hAnsi="Arial Nova"/>
          <w:color w:val="000000"/>
          <w:lang w:val="en-MY"/>
        </w:rPr>
        <w:t>Beelde</w:t>
      </w:r>
      <w:proofErr w:type="spellEnd"/>
      <w:r w:rsidRPr="00232505">
        <w:rPr>
          <w:rFonts w:ascii="Arial Nova" w:eastAsiaTheme="minorHAnsi" w:hAnsi="Arial Nova"/>
          <w:color w:val="000000"/>
          <w:lang w:val="en-MY"/>
        </w:rPr>
        <w:t>, I. d. (2005). Environmental Auditing and the Role of the Accountancy</w:t>
      </w:r>
      <w:r>
        <w:rPr>
          <w:rFonts w:ascii="Arial Nova" w:eastAsiaTheme="minorHAnsi" w:hAnsi="Arial Nova"/>
          <w:color w:val="000000"/>
          <w:lang w:val="en-MY"/>
        </w:rPr>
        <w:t xml:space="preserve"> </w:t>
      </w:r>
      <w:r w:rsidRPr="00232505">
        <w:rPr>
          <w:rFonts w:ascii="Arial Nova" w:eastAsiaTheme="minorHAnsi" w:hAnsi="Arial Nova"/>
          <w:color w:val="000000"/>
          <w:lang w:val="en-MY"/>
        </w:rPr>
        <w:t xml:space="preserve">Profession: A Literature Review. </w:t>
      </w:r>
      <w:r w:rsidRPr="00232505">
        <w:rPr>
          <w:rFonts w:ascii="Arial Nova" w:eastAsiaTheme="minorHAnsi" w:hAnsi="Arial Nova"/>
          <w:i/>
          <w:iCs/>
          <w:color w:val="000000"/>
          <w:lang w:val="en-MY"/>
        </w:rPr>
        <w:t>Environmental Management, 36</w:t>
      </w:r>
      <w:r w:rsidRPr="00232505">
        <w:rPr>
          <w:rFonts w:ascii="Arial Nova" w:eastAsiaTheme="minorHAnsi" w:hAnsi="Arial Nova"/>
          <w:color w:val="000000"/>
          <w:lang w:val="en-MY"/>
        </w:rPr>
        <w:t>(2), 205-219.</w:t>
      </w:r>
    </w:p>
    <w:p w14:paraId="44511678" w14:textId="41F69035" w:rsidR="00232505" w:rsidRPr="00232505" w:rsidRDefault="00232505" w:rsidP="00A16F5F">
      <w:pPr>
        <w:autoSpaceDE w:val="0"/>
        <w:autoSpaceDN w:val="0"/>
        <w:adjustRightInd w:val="0"/>
        <w:spacing w:line="360" w:lineRule="auto"/>
        <w:ind w:left="567" w:hanging="567"/>
        <w:jc w:val="both"/>
        <w:rPr>
          <w:rFonts w:ascii="Arial Nova" w:eastAsiaTheme="minorHAnsi" w:hAnsi="Arial Nova"/>
          <w:color w:val="000000"/>
          <w:lang w:val="en-MY"/>
        </w:rPr>
      </w:pPr>
      <w:proofErr w:type="spellStart"/>
      <w:r w:rsidRPr="00232505">
        <w:rPr>
          <w:rFonts w:ascii="Arial Nova" w:eastAsiaTheme="minorHAnsi" w:hAnsi="Arial Nova"/>
          <w:color w:val="000000"/>
          <w:lang w:val="en-MY"/>
        </w:rPr>
        <w:t>Perbendaharaan</w:t>
      </w:r>
      <w:proofErr w:type="spellEnd"/>
      <w:r w:rsidRPr="00232505">
        <w:rPr>
          <w:rFonts w:ascii="Arial Nova" w:eastAsiaTheme="minorHAnsi" w:hAnsi="Arial Nova"/>
          <w:color w:val="000000"/>
          <w:lang w:val="en-MY"/>
        </w:rPr>
        <w:t xml:space="preserve"> Malaysia. (2003). </w:t>
      </w:r>
      <w:r w:rsidRPr="00232505">
        <w:rPr>
          <w:rFonts w:ascii="Arial Nova" w:eastAsiaTheme="minorHAnsi" w:hAnsi="Arial Nova"/>
          <w:i/>
          <w:iCs/>
          <w:color w:val="000000"/>
          <w:lang w:val="en-MY"/>
        </w:rPr>
        <w:t xml:space="preserve">P.S 3.2 </w:t>
      </w:r>
      <w:proofErr w:type="spellStart"/>
      <w:r w:rsidRPr="00232505">
        <w:rPr>
          <w:rFonts w:ascii="Arial Nova" w:eastAsiaTheme="minorHAnsi" w:hAnsi="Arial Nova"/>
          <w:i/>
          <w:iCs/>
          <w:color w:val="000000"/>
          <w:lang w:val="en-MY"/>
        </w:rPr>
        <w:t>Penubuhan</w:t>
      </w:r>
      <w:proofErr w:type="spellEnd"/>
      <w:r w:rsidRPr="00232505">
        <w:rPr>
          <w:rFonts w:ascii="Arial Nova" w:eastAsiaTheme="minorHAnsi" w:hAnsi="Arial Nova"/>
          <w:i/>
          <w:iCs/>
          <w:color w:val="000000"/>
          <w:lang w:val="en-MY"/>
        </w:rPr>
        <w:t xml:space="preserve"> </w:t>
      </w:r>
      <w:proofErr w:type="spellStart"/>
      <w:r w:rsidRPr="00232505">
        <w:rPr>
          <w:rFonts w:ascii="Arial Nova" w:eastAsiaTheme="minorHAnsi" w:hAnsi="Arial Nova"/>
          <w:i/>
          <w:iCs/>
          <w:color w:val="000000"/>
          <w:lang w:val="en-MY"/>
        </w:rPr>
        <w:t>Jawatankuasa</w:t>
      </w:r>
      <w:proofErr w:type="spellEnd"/>
      <w:r w:rsidRPr="00232505">
        <w:rPr>
          <w:rFonts w:ascii="Arial Nova" w:eastAsiaTheme="minorHAnsi" w:hAnsi="Arial Nova"/>
          <w:i/>
          <w:iCs/>
          <w:color w:val="000000"/>
          <w:lang w:val="en-MY"/>
        </w:rPr>
        <w:t xml:space="preserve"> Audit di </w:t>
      </w:r>
      <w:proofErr w:type="spellStart"/>
      <w:r w:rsidRPr="00232505">
        <w:rPr>
          <w:rFonts w:ascii="Arial Nova" w:eastAsiaTheme="minorHAnsi" w:hAnsi="Arial Nova"/>
          <w:i/>
          <w:iCs/>
          <w:color w:val="000000"/>
          <w:lang w:val="en-MY"/>
        </w:rPr>
        <w:t>Peringkat</w:t>
      </w:r>
      <w:proofErr w:type="spellEnd"/>
      <w:r>
        <w:rPr>
          <w:rFonts w:ascii="Arial Nova" w:eastAsiaTheme="minorHAnsi" w:hAnsi="Arial Nova"/>
          <w:i/>
          <w:iCs/>
          <w:color w:val="000000"/>
          <w:lang w:val="en-MY"/>
        </w:rPr>
        <w:t xml:space="preserve"> </w:t>
      </w:r>
      <w:r w:rsidRPr="00232505">
        <w:rPr>
          <w:rFonts w:ascii="Arial Nova" w:eastAsiaTheme="minorHAnsi" w:hAnsi="Arial Nova"/>
          <w:i/>
          <w:iCs/>
          <w:color w:val="000000"/>
          <w:lang w:val="en-MY"/>
        </w:rPr>
        <w:t xml:space="preserve">Kementerian Persekutuan dan Kerajaan Negeri. </w:t>
      </w:r>
      <w:r w:rsidRPr="00232505">
        <w:rPr>
          <w:rFonts w:ascii="Arial Nova" w:eastAsiaTheme="minorHAnsi" w:hAnsi="Arial Nova"/>
          <w:color w:val="000000"/>
          <w:lang w:val="en-MY"/>
        </w:rPr>
        <w:t>Putrajaya: Ministry of Finance.</w:t>
      </w:r>
    </w:p>
    <w:p w14:paraId="5547287E" w14:textId="3C74C3E1" w:rsidR="00232505" w:rsidRPr="00232505" w:rsidRDefault="00232505" w:rsidP="00A16F5F">
      <w:pPr>
        <w:autoSpaceDE w:val="0"/>
        <w:autoSpaceDN w:val="0"/>
        <w:adjustRightInd w:val="0"/>
        <w:spacing w:line="360" w:lineRule="auto"/>
        <w:ind w:left="567" w:hanging="567"/>
        <w:jc w:val="both"/>
        <w:rPr>
          <w:rFonts w:ascii="Arial Nova" w:eastAsiaTheme="minorHAnsi" w:hAnsi="Arial Nova"/>
          <w:color w:val="0563C2"/>
          <w:lang w:val="en-MY"/>
        </w:rPr>
      </w:pPr>
      <w:proofErr w:type="spellStart"/>
      <w:r w:rsidRPr="00232505">
        <w:rPr>
          <w:rFonts w:ascii="Arial Nova" w:eastAsiaTheme="minorHAnsi" w:hAnsi="Arial Nova"/>
          <w:color w:val="000000"/>
          <w:lang w:val="en-MY"/>
        </w:rPr>
        <w:t>Perbendaharaan</w:t>
      </w:r>
      <w:proofErr w:type="spellEnd"/>
      <w:r w:rsidRPr="00232505">
        <w:rPr>
          <w:rFonts w:ascii="Arial Nova" w:eastAsiaTheme="minorHAnsi" w:hAnsi="Arial Nova"/>
          <w:color w:val="000000"/>
          <w:lang w:val="en-MY"/>
        </w:rPr>
        <w:t xml:space="preserve"> Malaysia. (2013). PS 3.1 </w:t>
      </w:r>
      <w:proofErr w:type="spellStart"/>
      <w:r w:rsidRPr="00232505">
        <w:rPr>
          <w:rFonts w:ascii="Arial Nova" w:eastAsiaTheme="minorHAnsi" w:hAnsi="Arial Nova"/>
          <w:color w:val="000000"/>
          <w:lang w:val="en-MY"/>
        </w:rPr>
        <w:t>Pekeliling</w:t>
      </w:r>
      <w:proofErr w:type="spellEnd"/>
      <w:r w:rsidRPr="00232505">
        <w:rPr>
          <w:rFonts w:ascii="Arial Nova" w:eastAsiaTheme="minorHAnsi" w:hAnsi="Arial Nova"/>
          <w:color w:val="000000"/>
          <w:lang w:val="en-MY"/>
        </w:rPr>
        <w:t xml:space="preserve"> </w:t>
      </w:r>
      <w:proofErr w:type="spellStart"/>
      <w:r w:rsidRPr="00232505">
        <w:rPr>
          <w:rFonts w:ascii="Arial Nova" w:eastAsiaTheme="minorHAnsi" w:hAnsi="Arial Nova"/>
          <w:color w:val="000000"/>
          <w:lang w:val="en-MY"/>
        </w:rPr>
        <w:t>Perbendaharaan</w:t>
      </w:r>
      <w:proofErr w:type="spellEnd"/>
      <w:r w:rsidRPr="00232505">
        <w:rPr>
          <w:rFonts w:ascii="Arial Nova" w:eastAsiaTheme="minorHAnsi" w:hAnsi="Arial Nova"/>
          <w:color w:val="000000"/>
          <w:lang w:val="en-MY"/>
        </w:rPr>
        <w:t xml:space="preserve"> Malaysia. </w:t>
      </w:r>
      <w:proofErr w:type="spellStart"/>
      <w:r w:rsidRPr="00232505">
        <w:rPr>
          <w:rFonts w:ascii="Arial Nova" w:eastAsiaTheme="minorHAnsi" w:hAnsi="Arial Nova"/>
          <w:i/>
          <w:iCs/>
          <w:color w:val="000000"/>
          <w:lang w:val="en-MY"/>
        </w:rPr>
        <w:t>Pekeliling</w:t>
      </w:r>
      <w:proofErr w:type="spellEnd"/>
      <w:r>
        <w:rPr>
          <w:rFonts w:ascii="Arial Nova" w:eastAsiaTheme="minorHAnsi" w:hAnsi="Arial Nova"/>
          <w:i/>
          <w:iCs/>
          <w:color w:val="000000"/>
          <w:lang w:val="en-MY"/>
        </w:rPr>
        <w:t xml:space="preserve"> </w:t>
      </w:r>
      <w:proofErr w:type="spellStart"/>
      <w:r w:rsidRPr="00232505">
        <w:rPr>
          <w:rFonts w:ascii="Arial Nova" w:eastAsiaTheme="minorHAnsi" w:hAnsi="Arial Nova"/>
          <w:i/>
          <w:iCs/>
          <w:color w:val="000000"/>
          <w:lang w:val="en-MY"/>
        </w:rPr>
        <w:t>Perbendaharaan</w:t>
      </w:r>
      <w:proofErr w:type="spellEnd"/>
      <w:r w:rsidRPr="00232505">
        <w:rPr>
          <w:rFonts w:ascii="Arial Nova" w:eastAsiaTheme="minorHAnsi" w:hAnsi="Arial Nova"/>
          <w:i/>
          <w:iCs/>
          <w:color w:val="000000"/>
          <w:lang w:val="en-MY"/>
        </w:rPr>
        <w:t xml:space="preserve"> Malaysia</w:t>
      </w:r>
      <w:r w:rsidRPr="00232505">
        <w:rPr>
          <w:rFonts w:ascii="Arial Nova" w:eastAsiaTheme="minorHAnsi" w:hAnsi="Arial Nova"/>
          <w:color w:val="000000"/>
          <w:lang w:val="en-MY"/>
        </w:rPr>
        <w:t xml:space="preserve">. Putrajaya: Kementerian </w:t>
      </w:r>
      <w:proofErr w:type="spellStart"/>
      <w:r w:rsidRPr="00232505">
        <w:rPr>
          <w:rFonts w:ascii="Arial Nova" w:eastAsiaTheme="minorHAnsi" w:hAnsi="Arial Nova"/>
          <w:color w:val="000000"/>
          <w:lang w:val="en-MY"/>
        </w:rPr>
        <w:t>Kewangan</w:t>
      </w:r>
      <w:proofErr w:type="spellEnd"/>
      <w:r w:rsidRPr="00232505">
        <w:rPr>
          <w:rFonts w:ascii="Arial Nova" w:eastAsiaTheme="minorHAnsi" w:hAnsi="Arial Nova"/>
          <w:color w:val="000000"/>
          <w:lang w:val="en-MY"/>
        </w:rPr>
        <w:t xml:space="preserve"> Malaysia. Retrieved</w:t>
      </w:r>
      <w:r>
        <w:rPr>
          <w:rFonts w:ascii="Arial Nova" w:eastAsiaTheme="minorHAnsi" w:hAnsi="Arial Nova"/>
          <w:color w:val="000000"/>
          <w:lang w:val="en-MY"/>
        </w:rPr>
        <w:t xml:space="preserve"> </w:t>
      </w:r>
      <w:r w:rsidRPr="00232505">
        <w:rPr>
          <w:rFonts w:ascii="Arial Nova" w:eastAsiaTheme="minorHAnsi" w:hAnsi="Arial Nova"/>
          <w:color w:val="000000"/>
          <w:lang w:val="en-MY"/>
        </w:rPr>
        <w:t xml:space="preserve">from Kementerian </w:t>
      </w:r>
      <w:proofErr w:type="spellStart"/>
      <w:r w:rsidRPr="00232505">
        <w:rPr>
          <w:rFonts w:ascii="Arial Nova" w:eastAsiaTheme="minorHAnsi" w:hAnsi="Arial Nova"/>
          <w:color w:val="000000"/>
          <w:lang w:val="en-MY"/>
        </w:rPr>
        <w:t>Kewangan</w:t>
      </w:r>
      <w:proofErr w:type="spellEnd"/>
      <w:r w:rsidRPr="00232505">
        <w:rPr>
          <w:rFonts w:ascii="Arial Nova" w:eastAsiaTheme="minorHAnsi" w:hAnsi="Arial Nova"/>
          <w:color w:val="000000"/>
          <w:lang w:val="en-MY"/>
        </w:rPr>
        <w:t xml:space="preserve"> Malaysia: </w:t>
      </w:r>
      <w:r w:rsidRPr="00232505">
        <w:rPr>
          <w:rFonts w:ascii="Arial Nova" w:eastAsiaTheme="minorHAnsi" w:hAnsi="Arial Nova"/>
          <w:color w:val="0563C2"/>
          <w:lang w:val="en-MY"/>
        </w:rPr>
        <w:t>http://1pp.treasury.gov.my/</w:t>
      </w:r>
    </w:p>
    <w:p w14:paraId="4685D753" w14:textId="312AA5B6" w:rsidR="00232505" w:rsidRPr="00232505" w:rsidRDefault="00232505" w:rsidP="00A16F5F">
      <w:pPr>
        <w:autoSpaceDE w:val="0"/>
        <w:autoSpaceDN w:val="0"/>
        <w:adjustRightInd w:val="0"/>
        <w:spacing w:line="360" w:lineRule="auto"/>
        <w:ind w:left="567" w:hanging="567"/>
        <w:jc w:val="both"/>
        <w:rPr>
          <w:rFonts w:ascii="Arial Nova" w:eastAsiaTheme="minorHAnsi" w:hAnsi="Arial Nova"/>
          <w:color w:val="000000"/>
          <w:lang w:val="en-MY"/>
        </w:rPr>
      </w:pPr>
      <w:r w:rsidRPr="00232505">
        <w:rPr>
          <w:rFonts w:ascii="Arial Nova" w:eastAsiaTheme="minorHAnsi" w:hAnsi="Arial Nova"/>
          <w:color w:val="000000"/>
          <w:lang w:val="en-MY"/>
        </w:rPr>
        <w:t xml:space="preserve">Raman, N. S., </w:t>
      </w:r>
      <w:proofErr w:type="spellStart"/>
      <w:r w:rsidRPr="00232505">
        <w:rPr>
          <w:rFonts w:ascii="Arial Nova" w:eastAsiaTheme="minorHAnsi" w:hAnsi="Arial Nova"/>
          <w:color w:val="000000"/>
          <w:lang w:val="en-MY"/>
        </w:rPr>
        <w:t>Makode</w:t>
      </w:r>
      <w:proofErr w:type="spellEnd"/>
      <w:r w:rsidRPr="00232505">
        <w:rPr>
          <w:rFonts w:ascii="Arial Nova" w:eastAsiaTheme="minorHAnsi" w:hAnsi="Arial Nova"/>
          <w:color w:val="000000"/>
          <w:lang w:val="en-MY"/>
        </w:rPr>
        <w:t xml:space="preserve">, M., &amp; </w:t>
      </w:r>
      <w:proofErr w:type="spellStart"/>
      <w:r w:rsidRPr="00232505">
        <w:rPr>
          <w:rFonts w:ascii="Arial Nova" w:eastAsiaTheme="minorHAnsi" w:hAnsi="Arial Nova"/>
          <w:color w:val="000000"/>
          <w:lang w:val="en-MY"/>
        </w:rPr>
        <w:t>Devotta</w:t>
      </w:r>
      <w:proofErr w:type="spellEnd"/>
      <w:r w:rsidRPr="00232505">
        <w:rPr>
          <w:rFonts w:ascii="Arial Nova" w:eastAsiaTheme="minorHAnsi" w:hAnsi="Arial Nova"/>
          <w:color w:val="000000"/>
          <w:lang w:val="en-MY"/>
        </w:rPr>
        <w:t>, S. (Spring, 2008). Environmental Auditing in India:</w:t>
      </w:r>
      <w:r>
        <w:rPr>
          <w:rFonts w:ascii="Arial Nova" w:eastAsiaTheme="minorHAnsi" w:hAnsi="Arial Nova"/>
          <w:color w:val="000000"/>
          <w:lang w:val="en-MY"/>
        </w:rPr>
        <w:t xml:space="preserve"> </w:t>
      </w:r>
      <w:r w:rsidRPr="00232505">
        <w:rPr>
          <w:rFonts w:ascii="Arial Nova" w:eastAsiaTheme="minorHAnsi" w:hAnsi="Arial Nova"/>
          <w:color w:val="000000"/>
          <w:lang w:val="en-MY"/>
        </w:rPr>
        <w:t xml:space="preserve">A Case Study from the Wood Pulp Industry. </w:t>
      </w:r>
      <w:r w:rsidRPr="00232505">
        <w:rPr>
          <w:rFonts w:ascii="Arial Nova" w:eastAsiaTheme="minorHAnsi" w:hAnsi="Arial Nova"/>
          <w:i/>
          <w:iCs/>
          <w:color w:val="000000"/>
          <w:lang w:val="en-MY"/>
        </w:rPr>
        <w:t>Environmental Quality Management</w:t>
      </w:r>
      <w:r w:rsidRPr="00232505">
        <w:rPr>
          <w:rFonts w:ascii="Arial Nova" w:eastAsiaTheme="minorHAnsi" w:hAnsi="Arial Nova"/>
          <w:color w:val="000000"/>
          <w:lang w:val="en-MY"/>
        </w:rPr>
        <w:t>, 55-65.</w:t>
      </w:r>
    </w:p>
    <w:p w14:paraId="58FEA2D2" w14:textId="44C27E02" w:rsidR="00232505" w:rsidRPr="00232505" w:rsidRDefault="00232505" w:rsidP="00A16F5F">
      <w:pPr>
        <w:autoSpaceDE w:val="0"/>
        <w:autoSpaceDN w:val="0"/>
        <w:adjustRightInd w:val="0"/>
        <w:spacing w:line="360" w:lineRule="auto"/>
        <w:ind w:left="567" w:hanging="567"/>
        <w:jc w:val="both"/>
        <w:rPr>
          <w:rFonts w:ascii="Arial Nova" w:eastAsiaTheme="minorHAnsi" w:hAnsi="Arial Nova"/>
          <w:lang w:val="en-MY"/>
        </w:rPr>
      </w:pPr>
      <w:proofErr w:type="spellStart"/>
      <w:r w:rsidRPr="00232505">
        <w:rPr>
          <w:rFonts w:ascii="Arial Nova" w:eastAsiaTheme="minorHAnsi" w:hAnsi="Arial Nova"/>
          <w:lang w:val="en-MY"/>
        </w:rPr>
        <w:t>Viegas</w:t>
      </w:r>
      <w:proofErr w:type="spellEnd"/>
      <w:r w:rsidRPr="00232505">
        <w:rPr>
          <w:rFonts w:ascii="Arial Nova" w:eastAsiaTheme="minorHAnsi" w:hAnsi="Arial Nova"/>
          <w:lang w:val="en-MY"/>
        </w:rPr>
        <w:t>, C. v., Bond, A., Ribeiro, J. L., &amp; Selig, P. M. (2013). A review of environmental</w:t>
      </w:r>
      <w:r>
        <w:rPr>
          <w:rFonts w:ascii="Arial Nova" w:eastAsiaTheme="minorHAnsi" w:hAnsi="Arial Nova"/>
          <w:lang w:val="en-MY"/>
        </w:rPr>
        <w:t xml:space="preserve"> </w:t>
      </w:r>
      <w:r w:rsidRPr="00232505">
        <w:rPr>
          <w:rFonts w:ascii="Arial Nova" w:eastAsiaTheme="minorHAnsi" w:hAnsi="Arial Nova"/>
          <w:lang w:val="en-MY"/>
        </w:rPr>
        <w:t>monitoring and auditing in the context of risk: unveiling the extent of a confused</w:t>
      </w:r>
      <w:r>
        <w:rPr>
          <w:rFonts w:ascii="Arial Nova" w:eastAsiaTheme="minorHAnsi" w:hAnsi="Arial Nova"/>
          <w:lang w:val="en-MY"/>
        </w:rPr>
        <w:t xml:space="preserve"> </w:t>
      </w:r>
      <w:r w:rsidRPr="00232505">
        <w:rPr>
          <w:rFonts w:ascii="Arial Nova" w:eastAsiaTheme="minorHAnsi" w:hAnsi="Arial Nova"/>
          <w:lang w:val="en-MY"/>
        </w:rPr>
        <w:t xml:space="preserve">relationship. </w:t>
      </w:r>
      <w:r w:rsidRPr="00232505">
        <w:rPr>
          <w:rFonts w:ascii="Arial Nova" w:eastAsiaTheme="minorHAnsi" w:hAnsi="Arial Nova"/>
          <w:i/>
          <w:iCs/>
          <w:lang w:val="en-MY"/>
        </w:rPr>
        <w:t>Journal of Cleaner Production, 47</w:t>
      </w:r>
      <w:r w:rsidRPr="00232505">
        <w:rPr>
          <w:rFonts w:ascii="Arial Nova" w:eastAsiaTheme="minorHAnsi" w:hAnsi="Arial Nova"/>
          <w:lang w:val="en-MY"/>
        </w:rPr>
        <w:t>, 165-173.</w:t>
      </w:r>
    </w:p>
    <w:p w14:paraId="4D095B31" w14:textId="773CF45F" w:rsidR="00232505" w:rsidRPr="00232505" w:rsidRDefault="00232505" w:rsidP="00A16F5F">
      <w:pPr>
        <w:autoSpaceDE w:val="0"/>
        <w:autoSpaceDN w:val="0"/>
        <w:adjustRightInd w:val="0"/>
        <w:spacing w:line="360" w:lineRule="auto"/>
        <w:ind w:left="567" w:hanging="567"/>
        <w:jc w:val="both"/>
        <w:rPr>
          <w:rFonts w:ascii="Arial Nova" w:eastAsiaTheme="minorHAnsi" w:hAnsi="Arial Nova"/>
          <w:lang w:val="en-MY"/>
        </w:rPr>
      </w:pPr>
      <w:proofErr w:type="spellStart"/>
      <w:r w:rsidRPr="00232505">
        <w:rPr>
          <w:rFonts w:ascii="Arial Nova" w:eastAsiaTheme="minorHAnsi" w:hAnsi="Arial Nova"/>
          <w:lang w:val="en-MY"/>
        </w:rPr>
        <w:t>Vinten</w:t>
      </w:r>
      <w:proofErr w:type="spellEnd"/>
      <w:r w:rsidRPr="00232505">
        <w:rPr>
          <w:rFonts w:ascii="Arial Nova" w:eastAsiaTheme="minorHAnsi" w:hAnsi="Arial Nova"/>
          <w:lang w:val="en-MY"/>
        </w:rPr>
        <w:t xml:space="preserve">, G. (1996). The objectives of the environmental audit. </w:t>
      </w:r>
      <w:r w:rsidRPr="00232505">
        <w:rPr>
          <w:rFonts w:ascii="Arial Nova" w:eastAsiaTheme="minorHAnsi" w:hAnsi="Arial Nova"/>
          <w:i/>
          <w:iCs/>
          <w:lang w:val="en-MY"/>
        </w:rPr>
        <w:t>Environmental Management</w:t>
      </w:r>
      <w:r>
        <w:rPr>
          <w:rFonts w:ascii="Arial Nova" w:eastAsiaTheme="minorHAnsi" w:hAnsi="Arial Nova"/>
          <w:i/>
          <w:iCs/>
          <w:lang w:val="en-MY"/>
        </w:rPr>
        <w:t xml:space="preserve"> </w:t>
      </w:r>
      <w:r w:rsidRPr="00232505">
        <w:rPr>
          <w:rFonts w:ascii="Arial Nova" w:eastAsiaTheme="minorHAnsi" w:hAnsi="Arial Nova"/>
          <w:i/>
          <w:iCs/>
          <w:lang w:val="en-MY"/>
        </w:rPr>
        <w:t>and Health, 7</w:t>
      </w:r>
      <w:r w:rsidRPr="00232505">
        <w:rPr>
          <w:rFonts w:ascii="Arial Nova" w:eastAsiaTheme="minorHAnsi" w:hAnsi="Arial Nova"/>
          <w:lang w:val="en-MY"/>
        </w:rPr>
        <w:t>(3), 12-21.</w:t>
      </w:r>
    </w:p>
    <w:p w14:paraId="3888396D" w14:textId="29D7DF86" w:rsidR="00232505" w:rsidRPr="00232505" w:rsidRDefault="00232505" w:rsidP="00A16F5F">
      <w:pPr>
        <w:autoSpaceDE w:val="0"/>
        <w:autoSpaceDN w:val="0"/>
        <w:adjustRightInd w:val="0"/>
        <w:spacing w:line="360" w:lineRule="auto"/>
        <w:ind w:left="567" w:hanging="567"/>
        <w:jc w:val="both"/>
        <w:rPr>
          <w:rFonts w:ascii="Arial Nova" w:eastAsiaTheme="minorHAnsi" w:hAnsi="Arial Nova"/>
          <w:lang w:val="en-MY"/>
        </w:rPr>
      </w:pPr>
      <w:r w:rsidRPr="00232505">
        <w:rPr>
          <w:rFonts w:ascii="Arial Nova" w:eastAsiaTheme="minorHAnsi" w:hAnsi="Arial Nova"/>
          <w:lang w:val="en-MY"/>
        </w:rPr>
        <w:t>Walker, S. P. (2017). Accountants and the pursuit of the national interest: A study of role</w:t>
      </w:r>
      <w:r>
        <w:rPr>
          <w:rFonts w:ascii="Arial Nova" w:eastAsiaTheme="minorHAnsi" w:hAnsi="Arial Nova"/>
          <w:lang w:val="en-MY"/>
        </w:rPr>
        <w:t xml:space="preserve"> </w:t>
      </w:r>
      <w:r w:rsidRPr="00232505">
        <w:rPr>
          <w:rFonts w:ascii="Arial Nova" w:eastAsiaTheme="minorHAnsi" w:hAnsi="Arial Nova"/>
          <w:lang w:val="en-MY"/>
        </w:rPr>
        <w:t xml:space="preserve">conflict during the First World War. </w:t>
      </w:r>
      <w:r w:rsidRPr="00232505">
        <w:rPr>
          <w:rFonts w:ascii="Arial Nova" w:eastAsiaTheme="minorHAnsi" w:hAnsi="Arial Nova"/>
          <w:i/>
          <w:iCs/>
          <w:lang w:val="en-MY"/>
        </w:rPr>
        <w:t>Critical Perspectives on Accounting, 47</w:t>
      </w:r>
      <w:r w:rsidRPr="00232505">
        <w:rPr>
          <w:rFonts w:ascii="Arial Nova" w:eastAsiaTheme="minorHAnsi" w:hAnsi="Arial Nova"/>
          <w:lang w:val="en-MY"/>
        </w:rPr>
        <w:t>, 8-25.</w:t>
      </w:r>
    </w:p>
    <w:p w14:paraId="1F50A6CF" w14:textId="56ADED01" w:rsidR="00232505" w:rsidRPr="00232505" w:rsidRDefault="00232505" w:rsidP="00A16F5F">
      <w:pPr>
        <w:autoSpaceDE w:val="0"/>
        <w:autoSpaceDN w:val="0"/>
        <w:adjustRightInd w:val="0"/>
        <w:spacing w:line="360" w:lineRule="auto"/>
        <w:ind w:left="567" w:hanging="567"/>
        <w:jc w:val="both"/>
        <w:rPr>
          <w:rFonts w:ascii="Arial Nova" w:eastAsiaTheme="minorHAnsi" w:hAnsi="Arial Nova"/>
          <w:lang w:val="en-MY"/>
        </w:rPr>
      </w:pPr>
      <w:proofErr w:type="spellStart"/>
      <w:r w:rsidRPr="00232505">
        <w:rPr>
          <w:rFonts w:ascii="Arial Nova" w:eastAsiaTheme="minorHAnsi" w:hAnsi="Arial Nova"/>
          <w:lang w:val="en-MY"/>
        </w:rPr>
        <w:t>Wittmayer</w:t>
      </w:r>
      <w:proofErr w:type="spellEnd"/>
      <w:r w:rsidRPr="00232505">
        <w:rPr>
          <w:rFonts w:ascii="Arial Nova" w:eastAsiaTheme="minorHAnsi" w:hAnsi="Arial Nova"/>
          <w:lang w:val="en-MY"/>
        </w:rPr>
        <w:t xml:space="preserve">, J. M., Avelino, F., </w:t>
      </w:r>
      <w:proofErr w:type="spellStart"/>
      <w:r w:rsidRPr="00232505">
        <w:rPr>
          <w:rFonts w:ascii="Arial Nova" w:eastAsiaTheme="minorHAnsi" w:hAnsi="Arial Nova"/>
          <w:lang w:val="en-MY"/>
        </w:rPr>
        <w:t>Steenbergen</w:t>
      </w:r>
      <w:proofErr w:type="spellEnd"/>
      <w:r w:rsidRPr="00232505">
        <w:rPr>
          <w:rFonts w:ascii="Arial Nova" w:eastAsiaTheme="minorHAnsi" w:hAnsi="Arial Nova"/>
          <w:lang w:val="en-MY"/>
        </w:rPr>
        <w:t xml:space="preserve">, F. V., &amp; </w:t>
      </w:r>
      <w:proofErr w:type="spellStart"/>
      <w:r w:rsidRPr="00232505">
        <w:rPr>
          <w:rFonts w:ascii="Arial Nova" w:eastAsiaTheme="minorHAnsi" w:hAnsi="Arial Nova"/>
          <w:lang w:val="en-MY"/>
        </w:rPr>
        <w:t>Loorbach</w:t>
      </w:r>
      <w:proofErr w:type="spellEnd"/>
      <w:r w:rsidRPr="00232505">
        <w:rPr>
          <w:rFonts w:ascii="Arial Nova" w:eastAsiaTheme="minorHAnsi" w:hAnsi="Arial Nova"/>
          <w:lang w:val="en-MY"/>
        </w:rPr>
        <w:t>, D. (2017). Actor roles in</w:t>
      </w:r>
      <w:r>
        <w:rPr>
          <w:rFonts w:ascii="Arial Nova" w:eastAsiaTheme="minorHAnsi" w:hAnsi="Arial Nova"/>
          <w:lang w:val="en-MY"/>
        </w:rPr>
        <w:t xml:space="preserve"> </w:t>
      </w:r>
      <w:r w:rsidRPr="00232505">
        <w:rPr>
          <w:rFonts w:ascii="Arial Nova" w:eastAsiaTheme="minorHAnsi" w:hAnsi="Arial Nova"/>
          <w:lang w:val="en-MY"/>
        </w:rPr>
        <w:t xml:space="preserve">transition: Insights from sociological perspective. </w:t>
      </w:r>
      <w:r w:rsidRPr="00232505">
        <w:rPr>
          <w:rFonts w:ascii="Arial Nova" w:eastAsiaTheme="minorHAnsi" w:hAnsi="Arial Nova"/>
          <w:i/>
          <w:iCs/>
          <w:lang w:val="en-MY"/>
        </w:rPr>
        <w:t>Environmental Innovation and</w:t>
      </w:r>
      <w:r>
        <w:rPr>
          <w:rFonts w:ascii="Arial Nova" w:eastAsiaTheme="minorHAnsi" w:hAnsi="Arial Nova"/>
          <w:i/>
          <w:iCs/>
          <w:lang w:val="en-MY"/>
        </w:rPr>
        <w:t xml:space="preserve"> </w:t>
      </w:r>
      <w:r w:rsidRPr="00232505">
        <w:rPr>
          <w:rFonts w:ascii="Arial Nova" w:eastAsiaTheme="minorHAnsi" w:hAnsi="Arial Nova"/>
          <w:i/>
          <w:iCs/>
          <w:lang w:val="en-MY"/>
        </w:rPr>
        <w:t>Societal Transition, 24</w:t>
      </w:r>
      <w:r w:rsidRPr="00232505">
        <w:rPr>
          <w:rFonts w:ascii="Arial Nova" w:eastAsiaTheme="minorHAnsi" w:hAnsi="Arial Nova"/>
          <w:lang w:val="en-MY"/>
        </w:rPr>
        <w:t>, 45-56.</w:t>
      </w:r>
    </w:p>
    <w:p w14:paraId="74CB2EE7" w14:textId="27C5A103" w:rsidR="00232505" w:rsidRPr="00232505" w:rsidRDefault="00232505" w:rsidP="00A16F5F">
      <w:pPr>
        <w:autoSpaceDE w:val="0"/>
        <w:autoSpaceDN w:val="0"/>
        <w:adjustRightInd w:val="0"/>
        <w:spacing w:line="360" w:lineRule="auto"/>
        <w:ind w:left="567" w:hanging="567"/>
        <w:jc w:val="both"/>
        <w:rPr>
          <w:rFonts w:ascii="Arial Nova" w:eastAsiaTheme="minorHAnsi" w:hAnsi="Arial Nova"/>
          <w:lang w:val="en-MY"/>
        </w:rPr>
      </w:pPr>
      <w:proofErr w:type="spellStart"/>
      <w:r w:rsidRPr="00232505">
        <w:rPr>
          <w:rFonts w:ascii="Arial Nova" w:eastAsiaTheme="minorHAnsi" w:hAnsi="Arial Nova"/>
          <w:lang w:val="en-MY"/>
        </w:rPr>
        <w:t>Ruban</w:t>
      </w:r>
      <w:proofErr w:type="spellEnd"/>
      <w:r w:rsidRPr="00232505">
        <w:rPr>
          <w:rFonts w:ascii="Arial Nova" w:eastAsiaTheme="minorHAnsi" w:hAnsi="Arial Nova"/>
          <w:lang w:val="en-MY"/>
        </w:rPr>
        <w:t xml:space="preserve">, A &amp; </w:t>
      </w:r>
      <w:proofErr w:type="spellStart"/>
      <w:r w:rsidRPr="00232505">
        <w:rPr>
          <w:rFonts w:ascii="Arial Nova" w:eastAsiaTheme="minorHAnsi" w:hAnsi="Arial Nova"/>
          <w:lang w:val="en-MY"/>
        </w:rPr>
        <w:t>Ryden</w:t>
      </w:r>
      <w:proofErr w:type="spellEnd"/>
      <w:r w:rsidRPr="00232505">
        <w:rPr>
          <w:rFonts w:ascii="Arial Nova" w:eastAsiaTheme="minorHAnsi" w:hAnsi="Arial Nova"/>
          <w:lang w:val="en-MY"/>
        </w:rPr>
        <w:t>, L (2019). Introducing environmental auditing as a tool of environmental</w:t>
      </w:r>
      <w:r>
        <w:rPr>
          <w:rFonts w:ascii="Arial Nova" w:eastAsiaTheme="minorHAnsi" w:hAnsi="Arial Nova"/>
          <w:lang w:val="en-MY"/>
        </w:rPr>
        <w:t xml:space="preserve"> </w:t>
      </w:r>
      <w:r w:rsidRPr="00232505">
        <w:rPr>
          <w:rFonts w:ascii="Arial Nova" w:eastAsiaTheme="minorHAnsi" w:hAnsi="Arial Nova"/>
          <w:lang w:val="en-MY"/>
        </w:rPr>
        <w:t xml:space="preserve">governance in Ukraine. </w:t>
      </w:r>
      <w:r w:rsidRPr="00232505">
        <w:rPr>
          <w:rFonts w:ascii="Arial Nova" w:eastAsiaTheme="minorHAnsi" w:hAnsi="Arial Nova"/>
          <w:i/>
          <w:iCs/>
          <w:lang w:val="en-MY"/>
        </w:rPr>
        <w:t>Journal of Cleaner Production, 212</w:t>
      </w:r>
      <w:r w:rsidRPr="00232505">
        <w:rPr>
          <w:rFonts w:ascii="Arial Nova" w:eastAsiaTheme="minorHAnsi" w:hAnsi="Arial Nova"/>
          <w:lang w:val="en-MY"/>
        </w:rPr>
        <w:t>, 505-514.</w:t>
      </w:r>
    </w:p>
    <w:p w14:paraId="3F5A4A28" w14:textId="7C8F643F" w:rsidR="00232505" w:rsidRPr="00232505" w:rsidRDefault="00232505" w:rsidP="00A16F5F">
      <w:pPr>
        <w:autoSpaceDE w:val="0"/>
        <w:autoSpaceDN w:val="0"/>
        <w:adjustRightInd w:val="0"/>
        <w:spacing w:line="360" w:lineRule="auto"/>
        <w:ind w:left="567" w:hanging="567"/>
        <w:jc w:val="both"/>
        <w:rPr>
          <w:rFonts w:ascii="Arial Nova" w:eastAsiaTheme="minorHAnsi" w:hAnsi="Arial Nova"/>
          <w:lang w:val="en-MY"/>
        </w:rPr>
      </w:pPr>
      <w:r w:rsidRPr="00232505">
        <w:rPr>
          <w:rFonts w:ascii="Arial Nova" w:eastAsiaTheme="minorHAnsi" w:hAnsi="Arial Nova"/>
          <w:lang w:val="en-MY"/>
        </w:rPr>
        <w:lastRenderedPageBreak/>
        <w:t xml:space="preserve">Simon. A, Yaya L., </w:t>
      </w:r>
      <w:proofErr w:type="spellStart"/>
      <w:r w:rsidRPr="00232505">
        <w:rPr>
          <w:rFonts w:ascii="Arial Nova" w:eastAsiaTheme="minorHAnsi" w:hAnsi="Arial Nova"/>
          <w:lang w:val="en-MY"/>
        </w:rPr>
        <w:t>Karapetrovic</w:t>
      </w:r>
      <w:proofErr w:type="spellEnd"/>
      <w:r w:rsidRPr="00232505">
        <w:rPr>
          <w:rFonts w:ascii="Arial Nova" w:eastAsiaTheme="minorHAnsi" w:hAnsi="Arial Nova"/>
          <w:lang w:val="en-MY"/>
        </w:rPr>
        <w:t xml:space="preserve"> S. &amp; </w:t>
      </w:r>
      <w:proofErr w:type="spellStart"/>
      <w:r w:rsidRPr="00232505">
        <w:rPr>
          <w:rFonts w:ascii="Arial Nova" w:eastAsiaTheme="minorHAnsi" w:hAnsi="Arial Nova"/>
          <w:lang w:val="en-MY"/>
        </w:rPr>
        <w:t>Casadesús</w:t>
      </w:r>
      <w:proofErr w:type="spellEnd"/>
      <w:r w:rsidRPr="00232505">
        <w:rPr>
          <w:rFonts w:ascii="Arial Nova" w:eastAsiaTheme="minorHAnsi" w:hAnsi="Arial Nova"/>
          <w:lang w:val="en-MY"/>
        </w:rPr>
        <w:t>, M. (2014). An empirical analysis of the</w:t>
      </w:r>
      <w:r>
        <w:rPr>
          <w:rFonts w:ascii="Arial Nova" w:eastAsiaTheme="minorHAnsi" w:hAnsi="Arial Nova"/>
          <w:lang w:val="en-MY"/>
        </w:rPr>
        <w:t xml:space="preserve"> i</w:t>
      </w:r>
      <w:r w:rsidRPr="00232505">
        <w:rPr>
          <w:rFonts w:ascii="Arial Nova" w:eastAsiaTheme="minorHAnsi" w:hAnsi="Arial Nova"/>
          <w:lang w:val="en-MY"/>
        </w:rPr>
        <w:t xml:space="preserve">ntegration of internal and external management system audits. </w:t>
      </w:r>
      <w:r w:rsidRPr="00232505">
        <w:rPr>
          <w:rFonts w:ascii="Arial Nova" w:eastAsiaTheme="minorHAnsi" w:hAnsi="Arial Nova"/>
          <w:i/>
          <w:iCs/>
          <w:lang w:val="en-MY"/>
        </w:rPr>
        <w:t>Journal of Cleaner</w:t>
      </w:r>
      <w:r>
        <w:rPr>
          <w:rFonts w:ascii="Arial Nova" w:eastAsiaTheme="minorHAnsi" w:hAnsi="Arial Nova"/>
          <w:i/>
          <w:iCs/>
          <w:lang w:val="en-MY"/>
        </w:rPr>
        <w:t xml:space="preserve"> </w:t>
      </w:r>
      <w:r w:rsidRPr="00232505">
        <w:rPr>
          <w:rFonts w:ascii="Arial Nova" w:eastAsiaTheme="minorHAnsi" w:hAnsi="Arial Nova"/>
          <w:i/>
          <w:iCs/>
          <w:lang w:val="en-MY"/>
        </w:rPr>
        <w:t>Production, 66</w:t>
      </w:r>
      <w:r w:rsidRPr="00232505">
        <w:rPr>
          <w:rFonts w:ascii="Arial Nova" w:eastAsiaTheme="minorHAnsi" w:hAnsi="Arial Nova"/>
          <w:lang w:val="en-MY"/>
        </w:rPr>
        <w:t>, 499-506.</w:t>
      </w:r>
    </w:p>
    <w:p w14:paraId="61FA3F13" w14:textId="6EF50B6B" w:rsidR="00232505" w:rsidRPr="00232505" w:rsidRDefault="00232505" w:rsidP="00A16F5F">
      <w:pPr>
        <w:autoSpaceDE w:val="0"/>
        <w:autoSpaceDN w:val="0"/>
        <w:adjustRightInd w:val="0"/>
        <w:spacing w:line="360" w:lineRule="auto"/>
        <w:ind w:left="567" w:hanging="567"/>
        <w:jc w:val="both"/>
        <w:rPr>
          <w:rFonts w:ascii="Arial Nova" w:hAnsi="Arial Nova" w:cs="Arial"/>
        </w:rPr>
      </w:pPr>
      <w:r w:rsidRPr="00232505">
        <w:rPr>
          <w:rFonts w:ascii="Arial Nova" w:eastAsiaTheme="minorHAnsi" w:hAnsi="Arial Nova"/>
          <w:lang w:val="en-MY"/>
        </w:rPr>
        <w:t xml:space="preserve">SIRIM QAS International </w:t>
      </w:r>
      <w:proofErr w:type="spellStart"/>
      <w:r w:rsidRPr="00232505">
        <w:rPr>
          <w:rFonts w:ascii="Arial Nova" w:eastAsiaTheme="minorHAnsi" w:hAnsi="Arial Nova"/>
          <w:lang w:val="en-MY"/>
        </w:rPr>
        <w:t>Sdn</w:t>
      </w:r>
      <w:proofErr w:type="spellEnd"/>
      <w:r w:rsidRPr="00232505">
        <w:rPr>
          <w:rFonts w:ascii="Arial Nova" w:eastAsiaTheme="minorHAnsi" w:hAnsi="Arial Nova"/>
          <w:lang w:val="en-MY"/>
        </w:rPr>
        <w:t xml:space="preserve">. Bhd. (2017). </w:t>
      </w:r>
      <w:r w:rsidRPr="00232505">
        <w:rPr>
          <w:rFonts w:ascii="Arial Nova" w:eastAsiaTheme="minorHAnsi" w:hAnsi="Arial Nova"/>
          <w:i/>
          <w:iCs/>
          <w:lang w:val="en-MY"/>
        </w:rPr>
        <w:t>EMS Certification</w:t>
      </w:r>
      <w:r w:rsidRPr="00232505">
        <w:rPr>
          <w:rFonts w:ascii="Arial Nova" w:eastAsiaTheme="minorHAnsi" w:hAnsi="Arial Nova"/>
          <w:lang w:val="en-MY"/>
        </w:rPr>
        <w:t>. Retrieved from Malaysian</w:t>
      </w:r>
      <w:r>
        <w:rPr>
          <w:rFonts w:ascii="Arial Nova" w:eastAsiaTheme="minorHAnsi" w:hAnsi="Arial Nova"/>
          <w:lang w:val="en-MY"/>
        </w:rPr>
        <w:t xml:space="preserve"> </w:t>
      </w:r>
      <w:r w:rsidRPr="00232505">
        <w:rPr>
          <w:rFonts w:ascii="Arial Nova" w:eastAsiaTheme="minorHAnsi" w:hAnsi="Arial Nova"/>
          <w:lang w:val="en-MY"/>
        </w:rPr>
        <w:t>Certified:</w:t>
      </w:r>
      <w:r>
        <w:rPr>
          <w:rFonts w:ascii="Arial Nova" w:eastAsiaTheme="minorHAnsi" w:hAnsi="Arial Nova"/>
          <w:lang w:val="en-MY"/>
        </w:rPr>
        <w:t xml:space="preserve"> </w:t>
      </w:r>
      <w:r w:rsidRPr="00232505">
        <w:rPr>
          <w:rFonts w:ascii="Arial Nova" w:eastAsiaTheme="minorHAnsi" w:hAnsi="Arial Nova"/>
          <w:lang w:val="en-MY"/>
        </w:rPr>
        <w:t>http://www.malaysiancertified.com.my/EMSCert.aspx?company=&amp;scope=&amp;standard=&amp;cyear=&amp;status=&amp;country=&amp;state=&amp;licenceno=</w:t>
      </w:r>
    </w:p>
    <w:p w14:paraId="0BAE35C8" w14:textId="77777777" w:rsidR="00232505" w:rsidRPr="00232505" w:rsidRDefault="00232505" w:rsidP="00A16F5F">
      <w:pPr>
        <w:autoSpaceDE w:val="0"/>
        <w:autoSpaceDN w:val="0"/>
        <w:adjustRightInd w:val="0"/>
        <w:spacing w:line="360" w:lineRule="auto"/>
        <w:ind w:left="567" w:hanging="567"/>
        <w:jc w:val="both"/>
        <w:rPr>
          <w:rFonts w:ascii="Arial Nova" w:eastAsiaTheme="minorHAnsi" w:hAnsi="Arial Nova"/>
          <w:lang w:val="en-MY"/>
        </w:rPr>
      </w:pPr>
      <w:r w:rsidRPr="00232505">
        <w:rPr>
          <w:rFonts w:ascii="Arial Nova" w:eastAsiaTheme="minorHAnsi" w:hAnsi="Arial Nova"/>
          <w:lang w:val="en-MY"/>
        </w:rPr>
        <w:t>Tracy, S. J. (2013). Qualitative Research Method: Collecting Evidences, Crafting Evidence,</w:t>
      </w:r>
      <w:r>
        <w:rPr>
          <w:rFonts w:ascii="Arial Nova" w:eastAsiaTheme="minorHAnsi" w:hAnsi="Arial Nova"/>
          <w:lang w:val="en-MY"/>
        </w:rPr>
        <w:t xml:space="preserve"> </w:t>
      </w:r>
      <w:r w:rsidRPr="00232505">
        <w:rPr>
          <w:rFonts w:ascii="Arial Nova" w:eastAsiaTheme="minorHAnsi" w:hAnsi="Arial Nova"/>
          <w:lang w:val="en-MY"/>
        </w:rPr>
        <w:t>Communicating Impacts. United Kingdom: Wiley &amp; Sons.</w:t>
      </w:r>
    </w:p>
    <w:sectPr w:rsidR="00232505" w:rsidRPr="0023250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87AF1A" w14:textId="77777777" w:rsidR="00277C0D" w:rsidRDefault="00277C0D" w:rsidP="005C4882">
      <w:r>
        <w:separator/>
      </w:r>
    </w:p>
  </w:endnote>
  <w:endnote w:type="continuationSeparator" w:id="0">
    <w:p w14:paraId="2DC8CCA4" w14:textId="77777777" w:rsidR="00277C0D" w:rsidRDefault="00277C0D" w:rsidP="005C48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ova">
    <w:altName w:val="Arial Nova"/>
    <w:charset w:val="00"/>
    <w:family w:val="swiss"/>
    <w:pitch w:val="variable"/>
    <w:sig w:usb0="0000028F"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7201945"/>
      <w:docPartObj>
        <w:docPartGallery w:val="Page Numbers (Bottom of Page)"/>
        <w:docPartUnique/>
      </w:docPartObj>
    </w:sdtPr>
    <w:sdtEndPr>
      <w:rPr>
        <w:rFonts w:ascii="Arial Nova" w:hAnsi="Arial Nova"/>
        <w:noProof/>
      </w:rPr>
    </w:sdtEndPr>
    <w:sdtContent>
      <w:p w14:paraId="150B268A" w14:textId="08284670" w:rsidR="00A16F5F" w:rsidRPr="00A16F5F" w:rsidRDefault="00A16F5F">
        <w:pPr>
          <w:pStyle w:val="Footer"/>
          <w:jc w:val="center"/>
          <w:rPr>
            <w:rFonts w:ascii="Arial Nova" w:hAnsi="Arial Nova"/>
          </w:rPr>
        </w:pPr>
        <w:r w:rsidRPr="00A16F5F">
          <w:rPr>
            <w:rFonts w:ascii="Arial Nova" w:hAnsi="Arial Nova"/>
          </w:rPr>
          <w:fldChar w:fldCharType="begin"/>
        </w:r>
        <w:r w:rsidRPr="00A16F5F">
          <w:rPr>
            <w:rFonts w:ascii="Arial Nova" w:hAnsi="Arial Nova"/>
          </w:rPr>
          <w:instrText xml:space="preserve"> PAGE   \* MERGEFORMAT </w:instrText>
        </w:r>
        <w:r w:rsidRPr="00A16F5F">
          <w:rPr>
            <w:rFonts w:ascii="Arial Nova" w:hAnsi="Arial Nova"/>
          </w:rPr>
          <w:fldChar w:fldCharType="separate"/>
        </w:r>
        <w:r w:rsidRPr="00A16F5F">
          <w:rPr>
            <w:rFonts w:ascii="Arial Nova" w:hAnsi="Arial Nova"/>
            <w:noProof/>
          </w:rPr>
          <w:t>2</w:t>
        </w:r>
        <w:r w:rsidRPr="00A16F5F">
          <w:rPr>
            <w:rFonts w:ascii="Arial Nova" w:hAnsi="Arial Nova"/>
            <w:noProof/>
          </w:rPr>
          <w:fldChar w:fldCharType="end"/>
        </w:r>
      </w:p>
    </w:sdtContent>
  </w:sdt>
  <w:p w14:paraId="48216169" w14:textId="77777777" w:rsidR="00A16F5F" w:rsidRDefault="00A16F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61ED92" w14:textId="77777777" w:rsidR="00277C0D" w:rsidRDefault="00277C0D" w:rsidP="005C4882">
      <w:r>
        <w:separator/>
      </w:r>
    </w:p>
  </w:footnote>
  <w:footnote w:type="continuationSeparator" w:id="0">
    <w:p w14:paraId="59B72B3C" w14:textId="77777777" w:rsidR="00277C0D" w:rsidRDefault="00277C0D" w:rsidP="005C4882">
      <w:r>
        <w:continuationSeparator/>
      </w:r>
    </w:p>
  </w:footnote>
  <w:footnote w:id="1">
    <w:p w14:paraId="29690E46" w14:textId="77777777" w:rsidR="005C4882" w:rsidRPr="008569D1" w:rsidRDefault="005C4882" w:rsidP="005C4882">
      <w:pPr>
        <w:pStyle w:val="FootnoteText"/>
        <w:rPr>
          <w:lang w:val="en-US"/>
        </w:rPr>
      </w:pPr>
      <w:r>
        <w:rPr>
          <w:rStyle w:val="FootnoteReference"/>
        </w:rPr>
        <w:footnoteRef/>
      </w:r>
      <w:r>
        <w:t xml:space="preserve"> </w:t>
      </w:r>
      <w:r>
        <w:rPr>
          <w:rFonts w:ascii="Arial" w:hAnsi="Arial" w:cs="Arial"/>
          <w:color w:val="222222"/>
          <w:shd w:val="clear" w:color="auto" w:fill="FFFFFF"/>
        </w:rPr>
        <w:t xml:space="preserve">Hakim, W. and </w:t>
      </w:r>
      <w:proofErr w:type="spellStart"/>
      <w:r>
        <w:rPr>
          <w:rFonts w:ascii="Arial" w:hAnsi="Arial" w:cs="Arial"/>
          <w:color w:val="222222"/>
          <w:shd w:val="clear" w:color="auto" w:fill="FFFFFF"/>
        </w:rPr>
        <w:t>Yunus</w:t>
      </w:r>
      <w:proofErr w:type="spellEnd"/>
      <w:r>
        <w:rPr>
          <w:rFonts w:ascii="Arial" w:hAnsi="Arial" w:cs="Arial"/>
          <w:color w:val="222222"/>
          <w:shd w:val="clear" w:color="auto" w:fill="FFFFFF"/>
        </w:rPr>
        <w:t xml:space="preserve">, A., 2017. Environmental audit as instrument for environmental </w:t>
      </w:r>
      <w:proofErr w:type="spellStart"/>
      <w:r>
        <w:rPr>
          <w:rFonts w:ascii="Arial" w:hAnsi="Arial" w:cs="Arial"/>
          <w:color w:val="222222"/>
          <w:shd w:val="clear" w:color="auto" w:fill="FFFFFF"/>
        </w:rPr>
        <w:t>protectioan</w:t>
      </w:r>
      <w:proofErr w:type="spellEnd"/>
      <w:r>
        <w:rPr>
          <w:rFonts w:ascii="Arial" w:hAnsi="Arial" w:cs="Arial"/>
          <w:color w:val="222222"/>
          <w:shd w:val="clear" w:color="auto" w:fill="FFFFFF"/>
        </w:rPr>
        <w:t xml:space="preserve"> and management. </w:t>
      </w:r>
      <w:r>
        <w:rPr>
          <w:rFonts w:ascii="Arial" w:hAnsi="Arial" w:cs="Arial"/>
          <w:i/>
          <w:iCs/>
          <w:color w:val="222222"/>
          <w:shd w:val="clear" w:color="auto" w:fill="FFFFFF"/>
        </w:rPr>
        <w:t>The Business &amp; Management Review</w:t>
      </w:r>
      <w:r>
        <w:rPr>
          <w:rFonts w:ascii="Arial" w:hAnsi="Arial" w:cs="Arial"/>
          <w:color w:val="222222"/>
          <w:shd w:val="clear" w:color="auto" w:fill="FFFFFF"/>
        </w:rPr>
        <w:t>, </w:t>
      </w:r>
      <w:r>
        <w:rPr>
          <w:rFonts w:ascii="Arial" w:hAnsi="Arial" w:cs="Arial"/>
          <w:i/>
          <w:iCs/>
          <w:color w:val="222222"/>
          <w:shd w:val="clear" w:color="auto" w:fill="FFFFFF"/>
        </w:rPr>
        <w:t>9</w:t>
      </w:r>
      <w:r>
        <w:rPr>
          <w:rFonts w:ascii="Arial" w:hAnsi="Arial" w:cs="Arial"/>
          <w:color w:val="222222"/>
          <w:shd w:val="clear" w:color="auto" w:fill="FFFFFF"/>
        </w:rPr>
        <w:t>(2), pp.228-232.</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3DF5"/>
    <w:rsid w:val="00127E84"/>
    <w:rsid w:val="001F02C3"/>
    <w:rsid w:val="00232505"/>
    <w:rsid w:val="00277C0D"/>
    <w:rsid w:val="002A6688"/>
    <w:rsid w:val="00353DF5"/>
    <w:rsid w:val="00424583"/>
    <w:rsid w:val="005C4882"/>
    <w:rsid w:val="00810083"/>
    <w:rsid w:val="00916F22"/>
    <w:rsid w:val="00A16F5F"/>
    <w:rsid w:val="00BC7384"/>
    <w:rsid w:val="00D87D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E0C05"/>
  <w15:docId w15:val="{A51251D1-3019-41E7-9E04-E377C97C6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3DF5"/>
    <w:pPr>
      <w:spacing w:line="240" w:lineRule="auto"/>
      <w:jc w:val="left"/>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53DF5"/>
    <w:pPr>
      <w:keepNext/>
      <w:jc w:val="center"/>
      <w:outlineLvl w:val="0"/>
    </w:pPr>
    <w:rPr>
      <w:rFonts w:ascii="Tahoma" w:hAnsi="Tahoma" w:cs="Tahoma"/>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3DF5"/>
    <w:rPr>
      <w:rFonts w:ascii="Tahoma" w:eastAsia="Times New Roman" w:hAnsi="Tahoma" w:cs="Tahoma"/>
      <w:b/>
      <w:bCs/>
      <w:sz w:val="24"/>
      <w:szCs w:val="20"/>
    </w:rPr>
  </w:style>
  <w:style w:type="paragraph" w:styleId="Caption">
    <w:name w:val="caption"/>
    <w:basedOn w:val="Normal"/>
    <w:next w:val="Normal"/>
    <w:uiPriority w:val="35"/>
    <w:unhideWhenUsed/>
    <w:qFormat/>
    <w:rsid w:val="002A6688"/>
    <w:pPr>
      <w:jc w:val="center"/>
    </w:pPr>
    <w:rPr>
      <w:rFonts w:eastAsiaTheme="minorHAnsi" w:cstheme="majorBidi"/>
      <w:lang w:val="en-GB"/>
    </w:rPr>
  </w:style>
  <w:style w:type="paragraph" w:styleId="FootnoteText">
    <w:name w:val="footnote text"/>
    <w:basedOn w:val="Normal"/>
    <w:link w:val="FootnoteTextChar"/>
    <w:uiPriority w:val="99"/>
    <w:semiHidden/>
    <w:unhideWhenUsed/>
    <w:rsid w:val="005C4882"/>
    <w:rPr>
      <w:rFonts w:asciiTheme="minorHAnsi" w:eastAsiaTheme="minorHAnsi" w:hAnsiTheme="minorHAnsi" w:cstheme="minorBidi"/>
      <w:sz w:val="20"/>
      <w:szCs w:val="20"/>
      <w:lang w:val="en-MY"/>
    </w:rPr>
  </w:style>
  <w:style w:type="character" w:customStyle="1" w:styleId="FootnoteTextChar">
    <w:name w:val="Footnote Text Char"/>
    <w:basedOn w:val="DefaultParagraphFont"/>
    <w:link w:val="FootnoteText"/>
    <w:uiPriority w:val="99"/>
    <w:semiHidden/>
    <w:rsid w:val="005C4882"/>
    <w:rPr>
      <w:sz w:val="20"/>
      <w:szCs w:val="20"/>
      <w:lang w:val="en-MY"/>
    </w:rPr>
  </w:style>
  <w:style w:type="character" w:styleId="FootnoteReference">
    <w:name w:val="footnote reference"/>
    <w:basedOn w:val="DefaultParagraphFont"/>
    <w:uiPriority w:val="99"/>
    <w:semiHidden/>
    <w:unhideWhenUsed/>
    <w:rsid w:val="005C4882"/>
    <w:rPr>
      <w:vertAlign w:val="superscript"/>
    </w:rPr>
  </w:style>
  <w:style w:type="paragraph" w:styleId="Header">
    <w:name w:val="header"/>
    <w:basedOn w:val="Normal"/>
    <w:link w:val="HeaderChar"/>
    <w:uiPriority w:val="99"/>
    <w:unhideWhenUsed/>
    <w:rsid w:val="00A16F5F"/>
    <w:pPr>
      <w:tabs>
        <w:tab w:val="center" w:pos="4513"/>
        <w:tab w:val="right" w:pos="9026"/>
      </w:tabs>
    </w:pPr>
  </w:style>
  <w:style w:type="character" w:customStyle="1" w:styleId="HeaderChar">
    <w:name w:val="Header Char"/>
    <w:basedOn w:val="DefaultParagraphFont"/>
    <w:link w:val="Header"/>
    <w:uiPriority w:val="99"/>
    <w:rsid w:val="00A16F5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16F5F"/>
    <w:pPr>
      <w:tabs>
        <w:tab w:val="center" w:pos="4513"/>
        <w:tab w:val="right" w:pos="9026"/>
      </w:tabs>
    </w:pPr>
  </w:style>
  <w:style w:type="character" w:customStyle="1" w:styleId="FooterChar">
    <w:name w:val="Footer Char"/>
    <w:basedOn w:val="DefaultParagraphFont"/>
    <w:link w:val="Footer"/>
    <w:uiPriority w:val="99"/>
    <w:rsid w:val="00A16F5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
</file>

<file path=customXml/itemProps1.xml><?xml version="1.0" encoding="utf-8"?>
<ds:datastoreItem xmlns:ds="http://schemas.openxmlformats.org/officeDocument/2006/customXml" ds:itemID="{545896AD-E736-4781-87E0-8BC3B17B4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19</Pages>
  <Words>5904</Words>
  <Characters>33655</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hafizah zainal</dc:creator>
  <cp:keywords/>
  <dc:description/>
  <cp:lastModifiedBy>hz</cp:lastModifiedBy>
  <cp:revision>5</cp:revision>
  <dcterms:created xsi:type="dcterms:W3CDTF">2019-10-11T01:22:00Z</dcterms:created>
  <dcterms:modified xsi:type="dcterms:W3CDTF">2022-10-15T16:12:00Z</dcterms:modified>
</cp:coreProperties>
</file>